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78A7" w:rsidP="004A6D2F">
            <w:pPr>
              <w:rPr>
                <w:rStyle w:val="Firstpagetablebold"/>
              </w:rPr>
            </w:pPr>
            <w:r>
              <w:rPr>
                <w:rStyle w:val="Firstpagetablebold"/>
              </w:rPr>
              <w:t>Councillor Mike Rowley</w:t>
            </w:r>
            <w:r w:rsidR="00E2430B">
              <w:rPr>
                <w:rStyle w:val="Firstpagetablebold"/>
              </w:rPr>
              <w:t>, Cabinet Member for Citizen Focused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D5CE9" w:rsidP="007B5CA2">
            <w:pPr>
              <w:rPr>
                <w:b/>
              </w:rPr>
            </w:pPr>
            <w:r>
              <w:rPr>
                <w:rStyle w:val="Firstpagetablebold"/>
              </w:rPr>
              <w:t>5</w:t>
            </w:r>
            <w:r w:rsidRPr="00BD5CE9">
              <w:rPr>
                <w:rStyle w:val="Firstpagetablebold"/>
                <w:vertAlign w:val="superscript"/>
              </w:rPr>
              <w:t>th</w:t>
            </w:r>
            <w:r>
              <w:rPr>
                <w:rStyle w:val="Firstpagetablebold"/>
              </w:rPr>
              <w:t xml:space="preserve"> April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726D" w:rsidP="004A6D2F">
            <w:pPr>
              <w:rPr>
                <w:rStyle w:val="Firstpagetablebold"/>
              </w:rPr>
            </w:pPr>
            <w:r>
              <w:rPr>
                <w:rStyle w:val="Firstpagetablebold"/>
              </w:rPr>
              <w:t xml:space="preserve">Head of </w:t>
            </w:r>
            <w:r w:rsidR="00237101">
              <w:rPr>
                <w:rStyle w:val="Firstpagetablebold"/>
              </w:rPr>
              <w:t>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37101" w:rsidP="004A6D2F">
            <w:pPr>
              <w:rPr>
                <w:rStyle w:val="Firstpagetablebold"/>
              </w:rPr>
            </w:pPr>
            <w:proofErr w:type="spellStart"/>
            <w:r>
              <w:rPr>
                <w:rStyle w:val="Firstpagetablebold"/>
              </w:rPr>
              <w:t>Covid</w:t>
            </w:r>
            <w:proofErr w:type="spellEnd"/>
            <w:r>
              <w:rPr>
                <w:rStyle w:val="Firstpagetablebold"/>
              </w:rPr>
              <w:t xml:space="preserve"> Additional Restrictions Fund </w:t>
            </w:r>
            <w:r w:rsidR="00BC726D">
              <w:rPr>
                <w:rStyle w:val="Firstpagetablebold"/>
              </w:rPr>
              <w:t xml:space="preserve">(CARF) </w:t>
            </w:r>
            <w:r>
              <w:rPr>
                <w:rStyle w:val="Firstpagetablebold"/>
              </w:rPr>
              <w:t>Discretionary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C726D" w:rsidP="00BC726D">
            <w:r>
              <w:t>This report sets out how the Council proposes to use its discretionary relief powers (under section 47 of the Local Government Finance Act 1988 as amended) to grant the CARF discretionary discounts, within the relevant eligibility criteria set out by Central Government.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D5CE9" w:rsidP="005F7F7E">
            <w:r>
              <w:rPr>
                <w:color w:val="auto"/>
              </w:rPr>
              <w:t>Yes</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BC726D" w:rsidP="00BC726D">
            <w:r>
              <w:t>Councillor Mike Rowley, Citizen Focussed Services</w:t>
            </w:r>
          </w:p>
        </w:tc>
      </w:tr>
      <w:tr w:rsidR="0080749A" w:rsidTr="0097170F">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C78A7" w:rsidP="005F7F7E">
            <w:r>
              <w:t>None</w:t>
            </w:r>
          </w:p>
        </w:tc>
      </w:tr>
      <w:tr w:rsidR="00D5547E" w:rsidTr="0097170F">
        <w:tc>
          <w:tcPr>
            <w:tcW w:w="2438" w:type="dxa"/>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rsidR="00D5547E" w:rsidRPr="001356F1" w:rsidRDefault="00BC78A7" w:rsidP="005F7F7E">
            <w:r>
              <w:t>None</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97170F" w:rsidRPr="00975B07" w:rsidTr="002C50D5">
        <w:trPr>
          <w:trHeight w:val="413"/>
        </w:trPr>
        <w:tc>
          <w:tcPr>
            <w:tcW w:w="8845" w:type="dxa"/>
            <w:tcBorders>
              <w:bottom w:val="single" w:sz="8" w:space="0" w:color="000000"/>
            </w:tcBorders>
          </w:tcPr>
          <w:p w:rsidR="0097170F" w:rsidRPr="00975B07" w:rsidRDefault="00E2430B" w:rsidP="00FB6E8F">
            <w:r>
              <w:rPr>
                <w:rStyle w:val="Firstpagetablebold"/>
              </w:rPr>
              <w:t>Recommendations</w:t>
            </w:r>
            <w:r w:rsidR="0097170F">
              <w:rPr>
                <w:rStyle w:val="Firstpagetablebold"/>
              </w:rPr>
              <w:t>:</w:t>
            </w:r>
            <w:r>
              <w:rPr>
                <w:rStyle w:val="Firstpagetablebold"/>
              </w:rPr>
              <w:t xml:space="preserve"> </w:t>
            </w:r>
            <w:r w:rsidR="0044110E">
              <w:rPr>
                <w:rStyle w:val="Firstpagetablebold"/>
                <w:b w:val="0"/>
              </w:rPr>
              <w:t xml:space="preserve">That </w:t>
            </w:r>
            <w:r>
              <w:rPr>
                <w:rStyle w:val="Firstpagetablebold"/>
                <w:b w:val="0"/>
              </w:rPr>
              <w:t>the Cabinet Member for Citizen Focused Services</w:t>
            </w:r>
            <w:r w:rsidR="0044110E">
              <w:rPr>
                <w:rStyle w:val="Firstpagetablebold"/>
                <w:b w:val="0"/>
              </w:rPr>
              <w:t xml:space="preserve"> resolve</w:t>
            </w:r>
            <w:r>
              <w:rPr>
                <w:rStyle w:val="Firstpagetablebold"/>
                <w:b w:val="0"/>
              </w:rPr>
              <w:t>s</w:t>
            </w:r>
            <w:r w:rsidR="0044110E">
              <w:rPr>
                <w:rStyle w:val="Firstpagetablebold"/>
                <w:b w:val="0"/>
              </w:rPr>
              <w:t xml:space="preserve"> </w:t>
            </w:r>
            <w:r w:rsidR="0097170F" w:rsidRPr="008954DF">
              <w:rPr>
                <w:rStyle w:val="Firstpagetablebold"/>
                <w:b w:val="0"/>
              </w:rPr>
              <w:t>to:</w:t>
            </w:r>
          </w:p>
        </w:tc>
      </w:tr>
      <w:tr w:rsidR="00E2430B" w:rsidRPr="00975B07" w:rsidTr="002C50D5">
        <w:trPr>
          <w:trHeight w:val="413"/>
        </w:trPr>
        <w:tc>
          <w:tcPr>
            <w:tcW w:w="8845" w:type="dxa"/>
            <w:tcBorders>
              <w:bottom w:val="single" w:sz="8" w:space="0" w:color="000000"/>
            </w:tcBorders>
          </w:tcPr>
          <w:p w:rsidR="00E2430B" w:rsidRPr="00E2430B" w:rsidRDefault="00E2430B" w:rsidP="00E2430B">
            <w:pPr>
              <w:pStyle w:val="ListParagraph"/>
              <w:numPr>
                <w:ilvl w:val="0"/>
                <w:numId w:val="14"/>
              </w:numPr>
              <w:ind w:left="390" w:hanging="364"/>
              <w:rPr>
                <w:rStyle w:val="Firstpagetablebold"/>
                <w:b w:val="0"/>
              </w:rPr>
            </w:pPr>
            <w:r w:rsidRPr="00E2430B">
              <w:rPr>
                <w:rStyle w:val="Firstpagetablebold"/>
              </w:rPr>
              <w:t>Approve</w:t>
            </w:r>
            <w:r w:rsidRPr="00E2430B">
              <w:rPr>
                <w:rStyle w:val="Firstpagetablebold"/>
                <w:b w:val="0"/>
              </w:rPr>
              <w:t xml:space="preserve"> the scheme at paragraphs 18 – 35 of this report</w:t>
            </w:r>
          </w:p>
          <w:p w:rsidR="00E2430B" w:rsidRDefault="00E2430B" w:rsidP="00E2430B">
            <w:pPr>
              <w:ind w:left="390" w:hanging="364"/>
              <w:rPr>
                <w:rStyle w:val="Firstpagetablebold"/>
                <w:b w:val="0"/>
              </w:rPr>
            </w:pPr>
          </w:p>
          <w:p w:rsidR="00E2430B" w:rsidRPr="00E2430B" w:rsidRDefault="00E2430B" w:rsidP="00E2430B">
            <w:pPr>
              <w:pStyle w:val="ListParagraph"/>
              <w:numPr>
                <w:ilvl w:val="0"/>
                <w:numId w:val="14"/>
              </w:numPr>
              <w:ind w:left="390" w:hanging="364"/>
              <w:rPr>
                <w:rStyle w:val="Firstpagetablebold"/>
                <w:b w:val="0"/>
              </w:rPr>
            </w:pPr>
            <w:r w:rsidRPr="00E2430B">
              <w:rPr>
                <w:rStyle w:val="Firstpagetablebold"/>
              </w:rPr>
              <w:t>Delegate</w:t>
            </w:r>
            <w:r w:rsidRPr="00E2430B">
              <w:rPr>
                <w:rStyle w:val="Firstpagetablebold"/>
                <w:b w:val="0"/>
              </w:rPr>
              <w:t xml:space="preserve"> </w:t>
            </w:r>
            <w:r w:rsidR="006F262D" w:rsidRPr="006F262D">
              <w:rPr>
                <w:rStyle w:val="Firstpagetablebold"/>
              </w:rPr>
              <w:t>authority</w:t>
            </w:r>
            <w:r w:rsidR="006F262D">
              <w:rPr>
                <w:rStyle w:val="Firstpagetablebold"/>
                <w:b w:val="0"/>
              </w:rPr>
              <w:t xml:space="preserve"> </w:t>
            </w:r>
            <w:r w:rsidRPr="00E2430B">
              <w:rPr>
                <w:rStyle w:val="Firstpagetablebold"/>
                <w:b w:val="0"/>
              </w:rPr>
              <w:t>to the Head o</w:t>
            </w:r>
            <w:r w:rsidR="006F262D">
              <w:rPr>
                <w:rStyle w:val="Firstpagetablebold"/>
                <w:b w:val="0"/>
              </w:rPr>
              <w:t>f Financial Services</w:t>
            </w:r>
            <w:r w:rsidRPr="00E2430B">
              <w:rPr>
                <w:rStyle w:val="Firstpagetablebold"/>
                <w:b w:val="0"/>
              </w:rPr>
              <w:t xml:space="preserve"> to determine applications in accordance with the scheme an</w:t>
            </w:r>
            <w:r w:rsidR="006F262D">
              <w:rPr>
                <w:rStyle w:val="Firstpagetablebold"/>
                <w:b w:val="0"/>
              </w:rPr>
              <w:t>d in consultation with the Cabinet</w:t>
            </w:r>
            <w:r w:rsidRPr="00E2430B">
              <w:rPr>
                <w:rStyle w:val="Firstpagetablebold"/>
                <w:b w:val="0"/>
              </w:rPr>
              <w:t xml:space="preserve"> Member </w:t>
            </w:r>
            <w:r w:rsidR="006F262D">
              <w:rPr>
                <w:rStyle w:val="Firstpagetablebold"/>
                <w:b w:val="0"/>
              </w:rPr>
              <w:t xml:space="preserve">for Citizen Focused Services </w:t>
            </w:r>
            <w:bookmarkStart w:id="0" w:name="_GoBack"/>
            <w:bookmarkEnd w:id="0"/>
            <w:r w:rsidRPr="00E2430B">
              <w:rPr>
                <w:rStyle w:val="Firstpagetablebold"/>
                <w:b w:val="0"/>
              </w:rPr>
              <w:t>to determine the final model to be used from those shown in Table 1 once all applications have been received.</w:t>
            </w:r>
          </w:p>
          <w:p w:rsidR="00E2430B" w:rsidRDefault="00E2430B" w:rsidP="00FB6E8F">
            <w:pPr>
              <w:rPr>
                <w:rStyle w:val="Firstpagetablebold"/>
              </w:rPr>
            </w:pPr>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E01D59">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01D59">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1356F1" w:rsidRDefault="00E2430B" w:rsidP="004A6D2F">
            <w:r>
              <w:t xml:space="preserve">CARF Scheme </w:t>
            </w:r>
            <w:r w:rsidR="00FF0AE3">
              <w:t>Modelling</w:t>
            </w:r>
            <w:r w:rsidR="005A4D7E">
              <w:t xml:space="preserve"> (confidential)</w:t>
            </w:r>
          </w:p>
        </w:tc>
      </w:tr>
    </w:tbl>
    <w:p w:rsidR="00237101" w:rsidRDefault="00237101" w:rsidP="00E2430B">
      <w:pPr>
        <w:pStyle w:val="bParagraphtext"/>
        <w:numPr>
          <w:ilvl w:val="0"/>
          <w:numId w:val="0"/>
        </w:numPr>
      </w:pPr>
    </w:p>
    <w:p w:rsidR="00237101" w:rsidRPr="00E2430B" w:rsidRDefault="00237101" w:rsidP="00237101">
      <w:pPr>
        <w:rPr>
          <w:rFonts w:cs="Arial"/>
          <w:b/>
          <w:u w:val="single"/>
        </w:rPr>
      </w:pPr>
      <w:r w:rsidRPr="00E2430B">
        <w:rPr>
          <w:rFonts w:cs="Arial"/>
          <w:b/>
          <w:u w:val="single"/>
        </w:rPr>
        <w:t>Covid-19 Additional Relief Fund (CARF)</w:t>
      </w:r>
    </w:p>
    <w:p w:rsidR="00237101" w:rsidRPr="00E2430B" w:rsidRDefault="00237101" w:rsidP="00237101">
      <w:pPr>
        <w:spacing w:after="160" w:line="259" w:lineRule="auto"/>
        <w:ind w:left="426" w:hanging="426"/>
        <w:contextualSpacing/>
        <w:rPr>
          <w:rFonts w:cs="Arial"/>
          <w:b/>
        </w:rPr>
      </w:pPr>
    </w:p>
    <w:p w:rsidR="00237101" w:rsidRPr="00E2430B" w:rsidRDefault="00237101" w:rsidP="00E2430B">
      <w:pPr>
        <w:spacing w:after="160" w:line="259" w:lineRule="auto"/>
        <w:contextualSpacing/>
        <w:rPr>
          <w:rFonts w:cs="Arial"/>
          <w:b/>
          <w:u w:val="single"/>
        </w:rPr>
      </w:pPr>
      <w:r w:rsidRPr="00E2430B">
        <w:rPr>
          <w:rFonts w:cs="Arial"/>
          <w:b/>
          <w:u w:val="single"/>
        </w:rPr>
        <w:t>Background</w:t>
      </w:r>
    </w:p>
    <w:p w:rsidR="00237101" w:rsidRDefault="00237101" w:rsidP="00237101">
      <w:pPr>
        <w:rPr>
          <w:rFonts w:cs="Arial"/>
        </w:rPr>
      </w:pPr>
    </w:p>
    <w:p w:rsidR="00237101" w:rsidRPr="00E2430B" w:rsidRDefault="00237101" w:rsidP="00E2430B">
      <w:pPr>
        <w:pStyle w:val="ListParagraph"/>
        <w:numPr>
          <w:ilvl w:val="0"/>
          <w:numId w:val="6"/>
        </w:numPr>
        <w:ind w:left="434" w:hanging="434"/>
        <w:rPr>
          <w:rStyle w:val="Hyperlink"/>
          <w:rFonts w:cs="Arial"/>
          <w:color w:val="000000"/>
          <w:u w:val="none"/>
        </w:rPr>
      </w:pPr>
      <w:r w:rsidRPr="00237101">
        <w:rPr>
          <w:rFonts w:cs="Arial"/>
        </w:rPr>
        <w:t xml:space="preserve">The </w:t>
      </w:r>
      <w:r w:rsidRPr="00237101">
        <w:rPr>
          <w:rFonts w:cs="Arial"/>
          <w:b/>
          <w:bCs/>
        </w:rPr>
        <w:t>Rating (Coronavirus) and Directors Disqualification (Dissolved Companies) Bill 2021</w:t>
      </w:r>
      <w:r w:rsidRPr="00237101">
        <w:rPr>
          <w:rFonts w:cs="Arial"/>
        </w:rPr>
        <w:t xml:space="preserve"> received Royal Assent on 15</w:t>
      </w:r>
      <w:r w:rsidRPr="00237101">
        <w:rPr>
          <w:rFonts w:cs="Arial"/>
          <w:vertAlign w:val="superscript"/>
        </w:rPr>
        <w:t>th</w:t>
      </w:r>
      <w:r w:rsidRPr="00237101">
        <w:rPr>
          <w:rFonts w:cs="Arial"/>
        </w:rPr>
        <w:t xml:space="preserve"> December 2021. Guidance has since been published by the Department for Levelling Up, Housing and Communities (DLUHC) and can be found at: </w:t>
      </w:r>
      <w:hyperlink r:id="rId11" w:history="1">
        <w:r w:rsidRPr="00237101">
          <w:rPr>
            <w:rStyle w:val="Hyperlink"/>
            <w:rFonts w:cs="Arial"/>
          </w:rPr>
          <w:t>https://www.gov.uk/government/publications/covid-19-additional-relief-fund-carf-local-authority-guidance?utm_medium=email&amp;utm_campaign=govuk-</w:t>
        </w:r>
        <w:r w:rsidRPr="00237101">
          <w:rPr>
            <w:rStyle w:val="Hyperlink"/>
            <w:rFonts w:cs="Arial"/>
          </w:rPr>
          <w:lastRenderedPageBreak/>
          <w:t>notifications&amp;utm_source=80e66d5f-a35d-43e9-b44f-0a16470dd4e5&amp;utm_content=immediately</w:t>
        </w:r>
      </w:hyperlink>
    </w:p>
    <w:p w:rsidR="00E2430B" w:rsidRPr="00237101" w:rsidRDefault="00E2430B" w:rsidP="00E2430B">
      <w:pPr>
        <w:pStyle w:val="ListParagraph"/>
        <w:numPr>
          <w:ilvl w:val="0"/>
          <w:numId w:val="0"/>
        </w:numPr>
        <w:ind w:left="434"/>
        <w:rPr>
          <w:rStyle w:val="Hyperlink"/>
          <w:rFonts w:cs="Arial"/>
          <w:color w:val="000000"/>
          <w:u w:val="none"/>
        </w:rPr>
      </w:pPr>
    </w:p>
    <w:p w:rsidR="00237101" w:rsidRDefault="00237101" w:rsidP="00E2430B">
      <w:pPr>
        <w:pStyle w:val="ListParagraph"/>
        <w:numPr>
          <w:ilvl w:val="0"/>
          <w:numId w:val="6"/>
        </w:numPr>
        <w:ind w:left="434" w:hanging="434"/>
        <w:rPr>
          <w:rFonts w:cs="Arial"/>
          <w:color w:val="auto"/>
        </w:rPr>
      </w:pPr>
      <w:r w:rsidRPr="00207984">
        <w:rPr>
          <w:rFonts w:cs="Arial"/>
          <w:color w:val="auto"/>
        </w:rPr>
        <w:t>The guidance is intended to support Local Authorities (LA’s) in administering CARF and sets out the scope of CARF and the criteria which local authorities should have regard to when determining awards from the fund. The guidance does not replace existing legislation.</w:t>
      </w:r>
    </w:p>
    <w:p w:rsidR="00E2430B" w:rsidRPr="00E2430B" w:rsidRDefault="00E2430B" w:rsidP="00E2430B">
      <w:pPr>
        <w:pStyle w:val="ListParagraph"/>
        <w:numPr>
          <w:ilvl w:val="0"/>
          <w:numId w:val="0"/>
        </w:numPr>
        <w:ind w:left="426"/>
        <w:rPr>
          <w:rFonts w:cs="Arial"/>
          <w:color w:val="auto"/>
        </w:rPr>
      </w:pPr>
    </w:p>
    <w:p w:rsidR="00237101" w:rsidRPr="00207984" w:rsidRDefault="00237101" w:rsidP="00E2430B">
      <w:pPr>
        <w:pStyle w:val="ListParagraph"/>
        <w:numPr>
          <w:ilvl w:val="0"/>
          <w:numId w:val="6"/>
        </w:numPr>
        <w:spacing w:after="120"/>
        <w:ind w:left="434" w:hanging="434"/>
        <w:rPr>
          <w:rFonts w:cs="Arial"/>
          <w:color w:val="auto"/>
        </w:rPr>
      </w:pPr>
      <w:r w:rsidRPr="00207984">
        <w:rPr>
          <w:rFonts w:cs="Arial"/>
          <w:color w:val="auto"/>
        </w:rPr>
        <w:t>Funding is available to support those businesses affected by the pandemic that are ineligible for existing support linked to business rates. The £1.5 billion funding pot has been allocated to local authorities based upon the estimated rateable value in each local authority rating list which falls within the scope of the fund, weighted for the Gross Value Added (GVA) impacts of COVID-19 per sector. An explanation of the allocation methodology, categories and definitions can be found in the guidance above.</w:t>
      </w:r>
    </w:p>
    <w:p w:rsidR="00237101" w:rsidRPr="00E2430B" w:rsidRDefault="00237101" w:rsidP="005A0D03">
      <w:pPr>
        <w:pStyle w:val="ListParagraph"/>
        <w:numPr>
          <w:ilvl w:val="0"/>
          <w:numId w:val="0"/>
        </w:numPr>
        <w:tabs>
          <w:tab w:val="clear" w:pos="426"/>
        </w:tabs>
        <w:rPr>
          <w:rFonts w:cs="Arial"/>
          <w:b/>
          <w:color w:val="auto"/>
          <w:u w:val="single"/>
        </w:rPr>
      </w:pPr>
      <w:r w:rsidRPr="00E2430B">
        <w:rPr>
          <w:rFonts w:cs="Arial"/>
          <w:b/>
          <w:color w:val="auto"/>
          <w:u w:val="single"/>
        </w:rPr>
        <w:t>Purpose</w:t>
      </w:r>
    </w:p>
    <w:p w:rsidR="00BD5CE9" w:rsidRPr="00207984" w:rsidRDefault="00BD5CE9" w:rsidP="0024245B">
      <w:pPr>
        <w:pStyle w:val="ListParagraph"/>
        <w:numPr>
          <w:ilvl w:val="0"/>
          <w:numId w:val="0"/>
        </w:numPr>
        <w:ind w:left="360"/>
        <w:rPr>
          <w:rFonts w:cs="Arial"/>
          <w:b/>
          <w:color w:val="auto"/>
          <w:sz w:val="28"/>
          <w:szCs w:val="28"/>
          <w:u w:val="single"/>
        </w:rPr>
      </w:pPr>
    </w:p>
    <w:p w:rsidR="00237101" w:rsidRPr="005A0D03" w:rsidRDefault="00C95DB7" w:rsidP="005A0D03">
      <w:pPr>
        <w:pStyle w:val="ListParagraph"/>
        <w:numPr>
          <w:ilvl w:val="0"/>
          <w:numId w:val="6"/>
        </w:numPr>
        <w:ind w:left="420" w:hanging="448"/>
        <w:rPr>
          <w:rFonts w:cs="Arial"/>
          <w:color w:val="auto"/>
          <w:u w:val="single"/>
        </w:rPr>
      </w:pPr>
      <w:r w:rsidRPr="00207984">
        <w:rPr>
          <w:rFonts w:ascii="Helvetica" w:hAnsi="Helvetica" w:cs="Helvetica"/>
          <w:color w:val="auto"/>
          <w:shd w:val="clear" w:color="auto" w:fill="FFFFFF"/>
        </w:rPr>
        <w:t xml:space="preserve">This report sets out how Oxford City </w:t>
      </w:r>
      <w:r w:rsidR="00237101" w:rsidRPr="00207984">
        <w:rPr>
          <w:rFonts w:ascii="Helvetica" w:hAnsi="Helvetica" w:cs="Helvetica"/>
          <w:color w:val="auto"/>
          <w:shd w:val="clear" w:color="auto" w:fill="FFFFFF"/>
        </w:rPr>
        <w:t xml:space="preserve">Council </w:t>
      </w:r>
      <w:r w:rsidRPr="00207984">
        <w:rPr>
          <w:rFonts w:ascii="Helvetica" w:hAnsi="Helvetica" w:cs="Helvetica"/>
          <w:color w:val="auto"/>
          <w:shd w:val="clear" w:color="auto" w:fill="FFFFFF"/>
        </w:rPr>
        <w:t xml:space="preserve">(the Council) </w:t>
      </w:r>
      <w:r w:rsidR="00237101" w:rsidRPr="00207984">
        <w:rPr>
          <w:rFonts w:ascii="Helvetica" w:hAnsi="Helvetica" w:cs="Helvetica"/>
          <w:color w:val="auto"/>
          <w:shd w:val="clear" w:color="auto" w:fill="FFFFFF"/>
        </w:rPr>
        <w:t>proposes to use its discretionary relief powers (under section 47 of the Local Government Finance Act 1988 as amended) to gra</w:t>
      </w:r>
      <w:r w:rsidR="00EC1D84">
        <w:rPr>
          <w:rFonts w:ascii="Helvetica" w:hAnsi="Helvetica" w:cs="Helvetica"/>
          <w:color w:val="auto"/>
          <w:shd w:val="clear" w:color="auto" w:fill="FFFFFF"/>
        </w:rPr>
        <w:t xml:space="preserve">nt the discretionary discounts, </w:t>
      </w:r>
      <w:r w:rsidR="00237101" w:rsidRPr="00207984">
        <w:rPr>
          <w:rFonts w:ascii="Helvetica" w:hAnsi="Helvetica" w:cs="Helvetica"/>
          <w:color w:val="auto"/>
          <w:shd w:val="clear" w:color="auto" w:fill="FFFFFF"/>
        </w:rPr>
        <w:t>originally announced in the 3 March 2021 budget but not implemented until 15 December 2021, within the relevant eligibility criteria set out by Central Government</w:t>
      </w:r>
      <w:r w:rsidR="00B050F9">
        <w:rPr>
          <w:rFonts w:ascii="Helvetica" w:hAnsi="Helvetica" w:cs="Helvetica"/>
          <w:color w:val="auto"/>
          <w:shd w:val="clear" w:color="auto" w:fill="FFFFFF"/>
        </w:rPr>
        <w:t>.</w:t>
      </w:r>
    </w:p>
    <w:p w:rsidR="005A0D03" w:rsidRPr="00207984" w:rsidRDefault="005A0D03" w:rsidP="005A0D03">
      <w:pPr>
        <w:pStyle w:val="ListParagraph"/>
        <w:numPr>
          <w:ilvl w:val="0"/>
          <w:numId w:val="0"/>
        </w:numPr>
        <w:ind w:left="420"/>
        <w:rPr>
          <w:rFonts w:cs="Arial"/>
          <w:color w:val="auto"/>
          <w:u w:val="single"/>
        </w:rPr>
      </w:pPr>
    </w:p>
    <w:p w:rsidR="003726B8" w:rsidRPr="005A0D03" w:rsidRDefault="003726B8" w:rsidP="005A0D03">
      <w:pPr>
        <w:pStyle w:val="ListParagraph"/>
        <w:numPr>
          <w:ilvl w:val="0"/>
          <w:numId w:val="6"/>
        </w:numPr>
        <w:ind w:left="420" w:hanging="448"/>
        <w:rPr>
          <w:rFonts w:cs="Arial"/>
          <w:color w:val="auto"/>
          <w:u w:val="single"/>
        </w:rPr>
      </w:pPr>
      <w:r w:rsidRPr="00207984">
        <w:rPr>
          <w:color w:val="auto"/>
        </w:rPr>
        <w:t>The fund will be available to support those businesses affected by the pandemic but that are ineligible for existing support linked to business rates.</w:t>
      </w:r>
    </w:p>
    <w:p w:rsidR="005A0D03" w:rsidRPr="005A0D03" w:rsidRDefault="005A0D03" w:rsidP="005A0D03">
      <w:pPr>
        <w:pStyle w:val="ListParagraph"/>
        <w:numPr>
          <w:ilvl w:val="0"/>
          <w:numId w:val="0"/>
        </w:numPr>
        <w:ind w:left="426"/>
        <w:rPr>
          <w:rFonts w:cs="Arial"/>
          <w:color w:val="auto"/>
          <w:u w:val="single"/>
        </w:rPr>
      </w:pPr>
    </w:p>
    <w:p w:rsidR="004E133A" w:rsidRPr="00207984" w:rsidRDefault="004E133A" w:rsidP="005A0D03">
      <w:pPr>
        <w:pStyle w:val="ListParagraph"/>
        <w:numPr>
          <w:ilvl w:val="0"/>
          <w:numId w:val="6"/>
        </w:numPr>
        <w:ind w:left="420" w:hanging="448"/>
        <w:rPr>
          <w:rFonts w:cs="Arial"/>
          <w:color w:val="auto"/>
          <w:u w:val="single"/>
        </w:rPr>
      </w:pPr>
      <w:r>
        <w:rPr>
          <w:color w:val="auto"/>
        </w:rPr>
        <w:t>The Council expects this relief to be applied to business rates accounts from April 2022 to September 2022.</w:t>
      </w:r>
    </w:p>
    <w:p w:rsidR="00207984" w:rsidRPr="00207984" w:rsidRDefault="00207984" w:rsidP="00207984">
      <w:pPr>
        <w:pStyle w:val="ListParagraph"/>
        <w:numPr>
          <w:ilvl w:val="0"/>
          <w:numId w:val="0"/>
        </w:numPr>
        <w:ind w:left="720"/>
        <w:rPr>
          <w:rFonts w:cs="Arial"/>
          <w:color w:val="auto"/>
          <w:u w:val="single"/>
        </w:rPr>
      </w:pPr>
    </w:p>
    <w:p w:rsidR="00237101" w:rsidRPr="005A0D03" w:rsidRDefault="00237101" w:rsidP="005A0D03">
      <w:pPr>
        <w:pStyle w:val="ListParagraph"/>
        <w:numPr>
          <w:ilvl w:val="0"/>
          <w:numId w:val="0"/>
        </w:numPr>
        <w:tabs>
          <w:tab w:val="clear" w:pos="426"/>
        </w:tabs>
        <w:spacing w:after="160" w:line="259" w:lineRule="auto"/>
        <w:ind w:left="-14"/>
        <w:contextualSpacing/>
        <w:rPr>
          <w:rFonts w:cs="Arial"/>
          <w:b/>
          <w:color w:val="auto"/>
          <w:u w:val="single"/>
        </w:rPr>
      </w:pPr>
      <w:r w:rsidRPr="005A0D03">
        <w:rPr>
          <w:rFonts w:cs="Arial"/>
          <w:b/>
          <w:color w:val="auto"/>
          <w:u w:val="single"/>
        </w:rPr>
        <w:t>Legislation</w:t>
      </w:r>
    </w:p>
    <w:p w:rsidR="00BD5CE9" w:rsidRPr="00207984" w:rsidRDefault="00BD5CE9" w:rsidP="0024245B">
      <w:pPr>
        <w:pStyle w:val="ListParagraph"/>
        <w:numPr>
          <w:ilvl w:val="0"/>
          <w:numId w:val="0"/>
        </w:numPr>
        <w:tabs>
          <w:tab w:val="clear" w:pos="426"/>
        </w:tabs>
        <w:spacing w:after="160" w:line="259" w:lineRule="auto"/>
        <w:ind w:left="360"/>
        <w:contextualSpacing/>
        <w:rPr>
          <w:rFonts w:cs="Arial"/>
          <w:b/>
          <w:color w:val="auto"/>
          <w:sz w:val="28"/>
          <w:szCs w:val="28"/>
          <w:u w:val="single"/>
        </w:rPr>
      </w:pPr>
    </w:p>
    <w:p w:rsidR="00237101" w:rsidRDefault="00237101" w:rsidP="005A0D03">
      <w:pPr>
        <w:pStyle w:val="ListParagraph"/>
        <w:numPr>
          <w:ilvl w:val="0"/>
          <w:numId w:val="6"/>
        </w:numPr>
        <w:tabs>
          <w:tab w:val="clear" w:pos="426"/>
        </w:tabs>
        <w:spacing w:after="160" w:line="259" w:lineRule="auto"/>
        <w:ind w:left="420" w:hanging="434"/>
        <w:contextualSpacing/>
        <w:rPr>
          <w:rFonts w:cs="Arial"/>
          <w:color w:val="auto"/>
        </w:rPr>
      </w:pPr>
      <w:r w:rsidRPr="00207984">
        <w:rPr>
          <w:rFonts w:cs="Arial"/>
          <w:color w:val="auto"/>
        </w:rPr>
        <w:t xml:space="preserve">The Government is not changing the legislation relating to the business rates reliefs available to properties. Instead, the Government will, in line with the eligibility criteria set out in the guidance, reimburse local authorities where relief is granted </w:t>
      </w:r>
      <w:r w:rsidR="0024245B" w:rsidRPr="00207984">
        <w:rPr>
          <w:rFonts w:cs="Arial"/>
          <w:color w:val="auto"/>
        </w:rPr>
        <w:t>in para</w:t>
      </w:r>
      <w:r w:rsidR="005A0D03">
        <w:rPr>
          <w:rFonts w:cs="Arial"/>
          <w:color w:val="auto"/>
        </w:rPr>
        <w:t>graph</w:t>
      </w:r>
      <w:r w:rsidRPr="00207984">
        <w:rPr>
          <w:rFonts w:cs="Arial"/>
          <w:color w:val="auto"/>
        </w:rPr>
        <w:t xml:space="preserve"> 4 above</w:t>
      </w:r>
      <w:r w:rsidR="00C95DB7" w:rsidRPr="00207984">
        <w:rPr>
          <w:rFonts w:cs="Arial"/>
          <w:color w:val="auto"/>
        </w:rPr>
        <w:t>.</w:t>
      </w:r>
    </w:p>
    <w:p w:rsidR="005A0D03" w:rsidRPr="00207984" w:rsidRDefault="005A0D03" w:rsidP="005A0D03">
      <w:pPr>
        <w:pStyle w:val="ListParagraph"/>
        <w:numPr>
          <w:ilvl w:val="0"/>
          <w:numId w:val="0"/>
        </w:numPr>
        <w:tabs>
          <w:tab w:val="clear" w:pos="426"/>
        </w:tabs>
        <w:spacing w:after="160" w:line="259" w:lineRule="auto"/>
        <w:ind w:left="420"/>
        <w:contextualSpacing/>
        <w:rPr>
          <w:rFonts w:cs="Arial"/>
          <w:color w:val="auto"/>
        </w:rPr>
      </w:pPr>
    </w:p>
    <w:p w:rsidR="00237101" w:rsidRDefault="00A0376E" w:rsidP="005A0D03">
      <w:pPr>
        <w:pStyle w:val="ListParagraph"/>
        <w:numPr>
          <w:ilvl w:val="0"/>
          <w:numId w:val="6"/>
        </w:numPr>
        <w:tabs>
          <w:tab w:val="clear" w:pos="426"/>
        </w:tabs>
        <w:spacing w:after="160" w:line="259" w:lineRule="auto"/>
        <w:ind w:left="420" w:hanging="434"/>
        <w:contextualSpacing/>
        <w:rPr>
          <w:rFonts w:cs="Arial"/>
          <w:color w:val="auto"/>
        </w:rPr>
      </w:pPr>
      <w:r>
        <w:rPr>
          <w:rFonts w:cs="Arial"/>
          <w:color w:val="auto"/>
        </w:rPr>
        <w:t>The Guidance given by the Government is not mandatory and t</w:t>
      </w:r>
      <w:r w:rsidR="00C95DB7" w:rsidRPr="00207984">
        <w:rPr>
          <w:rFonts w:cs="Arial"/>
          <w:color w:val="auto"/>
        </w:rPr>
        <w:t>he Council</w:t>
      </w:r>
      <w:r w:rsidR="00237101" w:rsidRPr="00207984">
        <w:rPr>
          <w:rFonts w:cs="Arial"/>
          <w:color w:val="auto"/>
        </w:rPr>
        <w:t xml:space="preserve"> needs to adopt a local scheme and determine in each individual case whether, having regard to the guidance and their own local scheme, to grant relief under section 47.</w:t>
      </w:r>
      <w:r>
        <w:rPr>
          <w:rFonts w:cs="Arial"/>
          <w:color w:val="auto"/>
        </w:rPr>
        <w:t xml:space="preserve"> </w:t>
      </w:r>
    </w:p>
    <w:p w:rsidR="005A0D03" w:rsidRPr="005A0D03" w:rsidRDefault="005A0D03" w:rsidP="005A0D03">
      <w:pPr>
        <w:pStyle w:val="ListParagraph"/>
        <w:numPr>
          <w:ilvl w:val="0"/>
          <w:numId w:val="0"/>
        </w:numPr>
        <w:ind w:left="426"/>
        <w:rPr>
          <w:rFonts w:cs="Arial"/>
          <w:color w:val="auto"/>
        </w:rPr>
      </w:pPr>
    </w:p>
    <w:p w:rsidR="00C95DB7" w:rsidRPr="00207984" w:rsidRDefault="00237101" w:rsidP="005A0D03">
      <w:pPr>
        <w:pStyle w:val="ListParagraph"/>
        <w:numPr>
          <w:ilvl w:val="0"/>
          <w:numId w:val="6"/>
        </w:numPr>
        <w:tabs>
          <w:tab w:val="clear" w:pos="426"/>
        </w:tabs>
        <w:spacing w:after="160" w:line="259" w:lineRule="auto"/>
        <w:ind w:left="420" w:hanging="434"/>
        <w:contextualSpacing/>
        <w:rPr>
          <w:rFonts w:cs="Arial"/>
          <w:color w:val="auto"/>
        </w:rPr>
      </w:pPr>
      <w:r w:rsidRPr="00207984">
        <w:rPr>
          <w:rFonts w:cs="Arial"/>
          <w:color w:val="auto"/>
        </w:rPr>
        <w:t xml:space="preserve">CARF will reduce chargeable amounts in respect of </w:t>
      </w:r>
      <w:r w:rsidR="00C95DB7" w:rsidRPr="00207984">
        <w:rPr>
          <w:rFonts w:cs="Arial"/>
          <w:color w:val="auto"/>
        </w:rPr>
        <w:t xml:space="preserve">the </w:t>
      </w:r>
      <w:r w:rsidRPr="00207984">
        <w:rPr>
          <w:rFonts w:cs="Arial"/>
          <w:color w:val="auto"/>
        </w:rPr>
        <w:t>2021/22</w:t>
      </w:r>
      <w:r w:rsidR="00C95DB7" w:rsidRPr="00207984">
        <w:rPr>
          <w:rFonts w:cs="Arial"/>
          <w:color w:val="auto"/>
        </w:rPr>
        <w:t xml:space="preserve"> financial year</w:t>
      </w:r>
      <w:r w:rsidR="00B050F9">
        <w:rPr>
          <w:rFonts w:cs="Arial"/>
          <w:color w:val="auto"/>
        </w:rPr>
        <w:t xml:space="preserve"> only.</w:t>
      </w:r>
    </w:p>
    <w:p w:rsidR="0024245B" w:rsidRPr="00207984" w:rsidRDefault="0024245B" w:rsidP="0024245B">
      <w:pPr>
        <w:pStyle w:val="ListParagraph"/>
        <w:numPr>
          <w:ilvl w:val="0"/>
          <w:numId w:val="0"/>
        </w:numPr>
        <w:tabs>
          <w:tab w:val="clear" w:pos="426"/>
        </w:tabs>
        <w:spacing w:after="160" w:line="259" w:lineRule="auto"/>
        <w:ind w:left="720"/>
        <w:contextualSpacing/>
        <w:rPr>
          <w:rFonts w:cs="Arial"/>
          <w:color w:val="auto"/>
        </w:rPr>
      </w:pPr>
    </w:p>
    <w:p w:rsidR="00C95DB7" w:rsidRPr="005A0D03" w:rsidRDefault="00237101" w:rsidP="005A0D03">
      <w:pPr>
        <w:pStyle w:val="ListParagraph"/>
        <w:numPr>
          <w:ilvl w:val="0"/>
          <w:numId w:val="0"/>
        </w:numPr>
        <w:tabs>
          <w:tab w:val="clear" w:pos="426"/>
        </w:tabs>
        <w:spacing w:after="160" w:line="259" w:lineRule="auto"/>
        <w:contextualSpacing/>
        <w:rPr>
          <w:rFonts w:cs="Arial"/>
          <w:b/>
          <w:color w:val="auto"/>
          <w:u w:val="single"/>
        </w:rPr>
      </w:pPr>
      <w:r w:rsidRPr="005A0D03">
        <w:rPr>
          <w:rFonts w:cs="Arial"/>
          <w:b/>
          <w:color w:val="auto"/>
          <w:u w:val="single"/>
        </w:rPr>
        <w:t>Funding the Scheme</w:t>
      </w:r>
    </w:p>
    <w:p w:rsidR="00BD5CE9" w:rsidRPr="00207984" w:rsidRDefault="00BD5CE9" w:rsidP="0024245B">
      <w:pPr>
        <w:pStyle w:val="ListParagraph"/>
        <w:numPr>
          <w:ilvl w:val="0"/>
          <w:numId w:val="0"/>
        </w:numPr>
        <w:tabs>
          <w:tab w:val="clear" w:pos="426"/>
        </w:tabs>
        <w:spacing w:after="160" w:line="259" w:lineRule="auto"/>
        <w:ind w:left="360"/>
        <w:contextualSpacing/>
        <w:rPr>
          <w:rFonts w:cs="Arial"/>
          <w:b/>
          <w:color w:val="auto"/>
          <w:sz w:val="28"/>
          <w:szCs w:val="28"/>
          <w:u w:val="single"/>
        </w:rPr>
      </w:pPr>
    </w:p>
    <w:p w:rsidR="00C95DB7" w:rsidRPr="00207984" w:rsidRDefault="00237101" w:rsidP="005A0D03">
      <w:pPr>
        <w:pStyle w:val="ListParagraph"/>
        <w:numPr>
          <w:ilvl w:val="0"/>
          <w:numId w:val="6"/>
        </w:numPr>
        <w:spacing w:after="160" w:line="259" w:lineRule="auto"/>
        <w:ind w:left="462" w:hanging="462"/>
        <w:contextualSpacing/>
        <w:rPr>
          <w:rFonts w:cs="Arial"/>
          <w:b/>
          <w:color w:val="auto"/>
          <w:sz w:val="28"/>
          <w:szCs w:val="28"/>
          <w:u w:val="single"/>
        </w:rPr>
      </w:pPr>
      <w:r w:rsidRPr="00207984">
        <w:rPr>
          <w:rFonts w:cs="Arial"/>
          <w:color w:val="auto"/>
        </w:rPr>
        <w:t>The Council’s share of the funding is £8,849,052</w:t>
      </w:r>
      <w:r w:rsidR="005A0D03">
        <w:rPr>
          <w:rFonts w:cs="Arial"/>
          <w:color w:val="auto"/>
        </w:rPr>
        <w:t>.</w:t>
      </w:r>
      <w:r w:rsidR="00C95DB7" w:rsidRPr="00207984">
        <w:rPr>
          <w:rFonts w:cs="Arial"/>
          <w:color w:val="auto"/>
        </w:rPr>
        <w:t xml:space="preserve"> </w:t>
      </w:r>
      <w:r w:rsidRPr="00207984">
        <w:rPr>
          <w:rFonts w:cs="Arial"/>
          <w:color w:val="auto"/>
        </w:rPr>
        <w:t xml:space="preserve">Central government will fully reimburse local authorities for discretionary relief awards </w:t>
      </w:r>
      <w:r w:rsidR="00EA1392">
        <w:rPr>
          <w:rFonts w:cs="Arial"/>
          <w:color w:val="auto"/>
        </w:rPr>
        <w:t xml:space="preserve">via Section 31 grant, </w:t>
      </w:r>
      <w:r w:rsidRPr="00207984">
        <w:rPr>
          <w:rFonts w:cs="Arial"/>
          <w:color w:val="auto"/>
        </w:rPr>
        <w:t xml:space="preserve">which comply with this guidance up to the maximum level of the allocations. </w:t>
      </w:r>
    </w:p>
    <w:p w:rsidR="005833B1" w:rsidRPr="005A0D03" w:rsidRDefault="005833B1" w:rsidP="005A0D03">
      <w:pPr>
        <w:pStyle w:val="ListParagraph"/>
        <w:numPr>
          <w:ilvl w:val="0"/>
          <w:numId w:val="6"/>
        </w:numPr>
        <w:spacing w:after="160" w:line="259" w:lineRule="auto"/>
        <w:ind w:left="462" w:hanging="462"/>
        <w:contextualSpacing/>
        <w:rPr>
          <w:rFonts w:cs="Arial"/>
          <w:b/>
          <w:color w:val="auto"/>
          <w:sz w:val="28"/>
          <w:szCs w:val="28"/>
          <w:u w:val="single"/>
        </w:rPr>
      </w:pPr>
      <w:r w:rsidRPr="00207984">
        <w:rPr>
          <w:color w:val="auto"/>
        </w:rPr>
        <w:lastRenderedPageBreak/>
        <w:t>Any expenditure above the funding al</w:t>
      </w:r>
      <w:r w:rsidR="00FC5622" w:rsidRPr="00207984">
        <w:rPr>
          <w:color w:val="auto"/>
        </w:rPr>
        <w:t>location above has to be funded by the Council</w:t>
      </w:r>
      <w:r w:rsidRPr="00207984">
        <w:rPr>
          <w:color w:val="auto"/>
        </w:rPr>
        <w:t xml:space="preserve"> itself</w:t>
      </w:r>
      <w:r w:rsidR="0024245B" w:rsidRPr="00207984">
        <w:rPr>
          <w:color w:val="auto"/>
        </w:rPr>
        <w:t>.</w:t>
      </w:r>
    </w:p>
    <w:p w:rsidR="005A0D03" w:rsidRPr="00207984" w:rsidRDefault="005A0D03" w:rsidP="005A0D03">
      <w:pPr>
        <w:pStyle w:val="ListParagraph"/>
        <w:numPr>
          <w:ilvl w:val="0"/>
          <w:numId w:val="0"/>
        </w:numPr>
        <w:spacing w:after="160" w:line="259" w:lineRule="auto"/>
        <w:ind w:left="462"/>
        <w:contextualSpacing/>
        <w:rPr>
          <w:rFonts w:cs="Arial"/>
          <w:b/>
          <w:color w:val="auto"/>
          <w:sz w:val="28"/>
          <w:szCs w:val="28"/>
          <w:u w:val="single"/>
        </w:rPr>
      </w:pPr>
    </w:p>
    <w:p w:rsidR="005A0D03" w:rsidRPr="005A0D03" w:rsidRDefault="00FC5622" w:rsidP="005A0D03">
      <w:pPr>
        <w:pStyle w:val="ListParagraph"/>
        <w:numPr>
          <w:ilvl w:val="0"/>
          <w:numId w:val="6"/>
        </w:numPr>
        <w:spacing w:after="160" w:line="259" w:lineRule="auto"/>
        <w:ind w:left="462" w:hanging="462"/>
        <w:contextualSpacing/>
        <w:rPr>
          <w:rFonts w:cs="Arial"/>
          <w:b/>
          <w:color w:val="auto"/>
          <w:sz w:val="28"/>
          <w:szCs w:val="28"/>
          <w:u w:val="single"/>
        </w:rPr>
      </w:pPr>
      <w:r w:rsidRPr="00207984">
        <w:rPr>
          <w:color w:val="auto"/>
        </w:rPr>
        <w:t>Should funding be left after all successful applications have been awarded, the Council will consider topping up the award to those businesses in receipt of awards to ensure 100% of the funding is allocated.</w:t>
      </w:r>
    </w:p>
    <w:p w:rsidR="00FC5622" w:rsidRPr="005A0D03" w:rsidRDefault="00FC5622" w:rsidP="005A0D03">
      <w:pPr>
        <w:pStyle w:val="ListParagraph"/>
        <w:numPr>
          <w:ilvl w:val="0"/>
          <w:numId w:val="0"/>
        </w:numPr>
        <w:ind w:left="426"/>
        <w:rPr>
          <w:color w:val="auto"/>
        </w:rPr>
      </w:pPr>
      <w:r w:rsidRPr="005A0D03">
        <w:rPr>
          <w:color w:val="auto"/>
        </w:rPr>
        <w:t xml:space="preserve"> </w:t>
      </w:r>
    </w:p>
    <w:p w:rsidR="00237101" w:rsidRDefault="00237101" w:rsidP="005A0D03">
      <w:pPr>
        <w:pStyle w:val="ListParagraph"/>
        <w:numPr>
          <w:ilvl w:val="0"/>
          <w:numId w:val="6"/>
        </w:numPr>
        <w:tabs>
          <w:tab w:val="clear" w:pos="426"/>
        </w:tabs>
        <w:spacing w:after="160" w:line="259" w:lineRule="auto"/>
        <w:ind w:left="462" w:hanging="462"/>
        <w:contextualSpacing/>
        <w:rPr>
          <w:rFonts w:cs="Arial"/>
          <w:color w:val="auto"/>
        </w:rPr>
      </w:pPr>
      <w:r w:rsidRPr="00207984">
        <w:rPr>
          <w:rFonts w:cs="Arial"/>
          <w:color w:val="auto"/>
        </w:rPr>
        <w:t>Any underpayment of the Council’s allocation will be recovered by Central Government</w:t>
      </w:r>
      <w:r w:rsidR="0024245B" w:rsidRPr="00207984">
        <w:rPr>
          <w:rFonts w:cs="Arial"/>
          <w:color w:val="auto"/>
        </w:rPr>
        <w:t>.</w:t>
      </w:r>
    </w:p>
    <w:p w:rsidR="005A0D03" w:rsidRPr="005A0D03" w:rsidRDefault="005A0D03" w:rsidP="005A0D03">
      <w:pPr>
        <w:pStyle w:val="ListParagraph"/>
        <w:numPr>
          <w:ilvl w:val="0"/>
          <w:numId w:val="0"/>
        </w:numPr>
        <w:ind w:left="426"/>
        <w:rPr>
          <w:rFonts w:cs="Arial"/>
          <w:color w:val="auto"/>
        </w:rPr>
      </w:pPr>
    </w:p>
    <w:p w:rsidR="0044110E" w:rsidRPr="00AE3D58" w:rsidRDefault="00237101" w:rsidP="005A0D03">
      <w:pPr>
        <w:pStyle w:val="ListParagraph"/>
        <w:numPr>
          <w:ilvl w:val="0"/>
          <w:numId w:val="6"/>
        </w:numPr>
        <w:tabs>
          <w:tab w:val="clear" w:pos="426"/>
        </w:tabs>
        <w:spacing w:after="160" w:line="259" w:lineRule="auto"/>
        <w:ind w:left="462" w:hanging="462"/>
        <w:contextualSpacing/>
        <w:rPr>
          <w:rFonts w:cs="Arial"/>
          <w:color w:val="auto"/>
        </w:rPr>
      </w:pPr>
      <w:r w:rsidRPr="00207984">
        <w:rPr>
          <w:rFonts w:cs="Arial"/>
          <w:color w:val="auto"/>
        </w:rPr>
        <w:t>N</w:t>
      </w:r>
      <w:r w:rsidR="005A0D03">
        <w:rPr>
          <w:rFonts w:cs="Arial"/>
          <w:color w:val="auto"/>
        </w:rPr>
        <w:t>ew B</w:t>
      </w:r>
      <w:r w:rsidRPr="00207984">
        <w:rPr>
          <w:rFonts w:cs="Arial"/>
          <w:color w:val="auto"/>
        </w:rPr>
        <w:t>urdens funding will be available to support the costs of administering CARF</w:t>
      </w:r>
      <w:r w:rsidR="00AE3D58">
        <w:rPr>
          <w:rFonts w:cs="Arial"/>
          <w:color w:val="auto"/>
        </w:rPr>
        <w:t xml:space="preserve"> </w:t>
      </w:r>
      <w:r w:rsidR="00EA1392">
        <w:rPr>
          <w:rFonts w:cs="Arial"/>
          <w:color w:val="auto"/>
        </w:rPr>
        <w:t>although the council has not been notified of the amount that it will receive.</w:t>
      </w:r>
      <w:r w:rsidR="00AE3D58" w:rsidRPr="00AE3D58">
        <w:t xml:space="preserve"> </w:t>
      </w:r>
      <w:r w:rsidR="00AE3D58">
        <w:t>The Government will conduct an assessment of the expected reasonable additional costs associated with the implementation of the policy.</w:t>
      </w:r>
    </w:p>
    <w:p w:rsidR="00AE3D58" w:rsidRPr="00AE3D58" w:rsidRDefault="00AE3D58" w:rsidP="00AE3D58">
      <w:pPr>
        <w:pStyle w:val="ListParagraph"/>
        <w:numPr>
          <w:ilvl w:val="0"/>
          <w:numId w:val="0"/>
        </w:numPr>
        <w:tabs>
          <w:tab w:val="clear" w:pos="426"/>
        </w:tabs>
        <w:spacing w:after="160" w:line="259" w:lineRule="auto"/>
        <w:ind w:left="720"/>
        <w:contextualSpacing/>
        <w:rPr>
          <w:rFonts w:cs="Arial"/>
          <w:color w:val="auto"/>
        </w:rPr>
      </w:pPr>
    </w:p>
    <w:p w:rsidR="00237101" w:rsidRPr="005A0D03" w:rsidRDefault="00237101" w:rsidP="005A0D03">
      <w:pPr>
        <w:pStyle w:val="ListParagraph"/>
        <w:numPr>
          <w:ilvl w:val="0"/>
          <w:numId w:val="0"/>
        </w:numPr>
        <w:tabs>
          <w:tab w:val="clear" w:pos="426"/>
        </w:tabs>
        <w:spacing w:after="160" w:line="259" w:lineRule="auto"/>
        <w:ind w:left="28"/>
        <w:contextualSpacing/>
        <w:rPr>
          <w:rFonts w:cs="Arial"/>
          <w:b/>
          <w:color w:val="auto"/>
          <w:u w:val="single"/>
        </w:rPr>
      </w:pPr>
      <w:r w:rsidRPr="005A0D03">
        <w:rPr>
          <w:rFonts w:cs="Arial"/>
          <w:b/>
          <w:color w:val="auto"/>
          <w:u w:val="single"/>
        </w:rPr>
        <w:t>Reporting and Monitoring the Scheme</w:t>
      </w:r>
    </w:p>
    <w:p w:rsidR="00BD5CE9" w:rsidRPr="00207984" w:rsidRDefault="00BD5CE9" w:rsidP="0024245B">
      <w:pPr>
        <w:pStyle w:val="ListParagraph"/>
        <w:numPr>
          <w:ilvl w:val="0"/>
          <w:numId w:val="0"/>
        </w:numPr>
        <w:tabs>
          <w:tab w:val="clear" w:pos="426"/>
        </w:tabs>
        <w:spacing w:after="160" w:line="259" w:lineRule="auto"/>
        <w:ind w:left="360"/>
        <w:contextualSpacing/>
        <w:rPr>
          <w:rFonts w:cs="Arial"/>
          <w:b/>
          <w:color w:val="auto"/>
          <w:sz w:val="28"/>
          <w:szCs w:val="28"/>
          <w:u w:val="single"/>
        </w:rPr>
      </w:pPr>
    </w:p>
    <w:p w:rsidR="00237101" w:rsidRDefault="00237101" w:rsidP="005A0D03">
      <w:pPr>
        <w:pStyle w:val="ListParagraph"/>
        <w:numPr>
          <w:ilvl w:val="0"/>
          <w:numId w:val="6"/>
        </w:numPr>
        <w:tabs>
          <w:tab w:val="clear" w:pos="426"/>
        </w:tabs>
        <w:spacing w:after="160" w:line="259" w:lineRule="auto"/>
        <w:ind w:left="462" w:hanging="462"/>
        <w:contextualSpacing/>
        <w:rPr>
          <w:rFonts w:cs="Arial"/>
          <w:color w:val="auto"/>
        </w:rPr>
      </w:pPr>
      <w:r w:rsidRPr="00207984">
        <w:rPr>
          <w:rFonts w:cs="Arial"/>
          <w:color w:val="auto"/>
        </w:rPr>
        <w:t xml:space="preserve">The loss of income resulting from the relief for each billing authority and major </w:t>
      </w:r>
      <w:proofErr w:type="spellStart"/>
      <w:r w:rsidRPr="00207984">
        <w:rPr>
          <w:rFonts w:cs="Arial"/>
          <w:color w:val="auto"/>
        </w:rPr>
        <w:t>precepting</w:t>
      </w:r>
      <w:proofErr w:type="spellEnd"/>
      <w:r w:rsidRPr="00207984">
        <w:rPr>
          <w:rFonts w:cs="Arial"/>
          <w:color w:val="auto"/>
        </w:rPr>
        <w:t xml:space="preserve"> authority will be reconciled against the on account payments made over the course of the year and any difference will be paid or recovered</w:t>
      </w:r>
      <w:r w:rsidR="0024245B" w:rsidRPr="00207984">
        <w:rPr>
          <w:rFonts w:cs="Arial"/>
          <w:color w:val="auto"/>
        </w:rPr>
        <w:t>.</w:t>
      </w:r>
    </w:p>
    <w:p w:rsidR="005A0D03" w:rsidRPr="00207984" w:rsidRDefault="005A0D03" w:rsidP="005A0D03">
      <w:pPr>
        <w:pStyle w:val="ListParagraph"/>
        <w:numPr>
          <w:ilvl w:val="0"/>
          <w:numId w:val="0"/>
        </w:numPr>
        <w:tabs>
          <w:tab w:val="clear" w:pos="426"/>
        </w:tabs>
        <w:spacing w:after="160" w:line="259" w:lineRule="auto"/>
        <w:ind w:left="462"/>
        <w:contextualSpacing/>
        <w:rPr>
          <w:rFonts w:cs="Arial"/>
          <w:color w:val="auto"/>
        </w:rPr>
      </w:pPr>
    </w:p>
    <w:p w:rsidR="00237101" w:rsidRDefault="00237101" w:rsidP="005A0D03">
      <w:pPr>
        <w:pStyle w:val="ListParagraph"/>
        <w:numPr>
          <w:ilvl w:val="0"/>
          <w:numId w:val="6"/>
        </w:numPr>
        <w:tabs>
          <w:tab w:val="clear" w:pos="426"/>
        </w:tabs>
        <w:spacing w:after="160" w:line="259" w:lineRule="auto"/>
        <w:ind w:left="462" w:hanging="462"/>
        <w:contextualSpacing/>
        <w:rPr>
          <w:rFonts w:cs="Arial"/>
          <w:color w:val="auto"/>
        </w:rPr>
      </w:pPr>
      <w:r w:rsidRPr="00207984">
        <w:rPr>
          <w:rFonts w:cs="Arial"/>
          <w:color w:val="auto"/>
        </w:rPr>
        <w:t xml:space="preserve">The DLUHC will undertake a regular DELTA collection exercise. This will be used to monitor implementation progress. </w:t>
      </w:r>
      <w:r w:rsidR="00D43AFD">
        <w:rPr>
          <w:rFonts w:cs="Arial"/>
          <w:color w:val="auto"/>
        </w:rPr>
        <w:t>The Council</w:t>
      </w:r>
      <w:r w:rsidRPr="00207984">
        <w:rPr>
          <w:rFonts w:cs="Arial"/>
          <w:color w:val="auto"/>
        </w:rPr>
        <w:t xml:space="preserve"> are already using this process </w:t>
      </w:r>
      <w:r w:rsidR="00B050F9">
        <w:rPr>
          <w:rFonts w:cs="Arial"/>
          <w:color w:val="auto"/>
        </w:rPr>
        <w:t xml:space="preserve">for other grants, </w:t>
      </w:r>
      <w:r w:rsidRPr="00207984">
        <w:rPr>
          <w:rFonts w:cs="Arial"/>
          <w:color w:val="auto"/>
        </w:rPr>
        <w:t>and will put in place arrangements to support this data collection process</w:t>
      </w:r>
      <w:r w:rsidR="0024245B" w:rsidRPr="00207984">
        <w:rPr>
          <w:rFonts w:cs="Arial"/>
          <w:color w:val="auto"/>
        </w:rPr>
        <w:t xml:space="preserve"> for CARF.</w:t>
      </w:r>
    </w:p>
    <w:p w:rsidR="005A0D03" w:rsidRPr="005A0D03" w:rsidRDefault="005A0D03" w:rsidP="005A0D03">
      <w:pPr>
        <w:pStyle w:val="ListParagraph"/>
        <w:numPr>
          <w:ilvl w:val="0"/>
          <w:numId w:val="0"/>
        </w:numPr>
        <w:ind w:left="426"/>
        <w:rPr>
          <w:rFonts w:cs="Arial"/>
          <w:color w:val="auto"/>
        </w:rPr>
      </w:pPr>
    </w:p>
    <w:p w:rsidR="00237101" w:rsidRDefault="003B03E4" w:rsidP="005A0D03">
      <w:pPr>
        <w:pStyle w:val="ListParagraph"/>
        <w:numPr>
          <w:ilvl w:val="0"/>
          <w:numId w:val="6"/>
        </w:numPr>
        <w:tabs>
          <w:tab w:val="clear" w:pos="426"/>
        </w:tabs>
        <w:spacing w:after="160" w:line="259" w:lineRule="auto"/>
        <w:ind w:left="462" w:hanging="462"/>
        <w:contextualSpacing/>
        <w:rPr>
          <w:rFonts w:cs="Arial"/>
          <w:color w:val="auto"/>
        </w:rPr>
      </w:pPr>
      <w:r>
        <w:rPr>
          <w:rFonts w:cs="Arial"/>
          <w:color w:val="auto"/>
        </w:rPr>
        <w:t xml:space="preserve">The Council will </w:t>
      </w:r>
      <w:r w:rsidR="00237101" w:rsidRPr="00207984">
        <w:rPr>
          <w:rFonts w:cs="Arial"/>
          <w:color w:val="auto"/>
        </w:rPr>
        <w:t>need to monitor and report the take-up of the scheme at Parliamentary constituency level and local authority level, and by the Special Category code of the hereditaments.</w:t>
      </w:r>
    </w:p>
    <w:p w:rsidR="0044110E" w:rsidRPr="00207984" w:rsidRDefault="0044110E" w:rsidP="0044110E">
      <w:pPr>
        <w:pStyle w:val="ListParagraph"/>
        <w:numPr>
          <w:ilvl w:val="0"/>
          <w:numId w:val="0"/>
        </w:numPr>
        <w:tabs>
          <w:tab w:val="clear" w:pos="426"/>
        </w:tabs>
        <w:spacing w:after="160" w:line="259" w:lineRule="auto"/>
        <w:ind w:left="720"/>
        <w:contextualSpacing/>
        <w:rPr>
          <w:rFonts w:cs="Arial"/>
          <w:color w:val="auto"/>
        </w:rPr>
      </w:pPr>
    </w:p>
    <w:p w:rsidR="00C95DB7" w:rsidRPr="005A0D03" w:rsidRDefault="00237101" w:rsidP="005A0D03">
      <w:pPr>
        <w:pStyle w:val="ListParagraph"/>
        <w:numPr>
          <w:ilvl w:val="0"/>
          <w:numId w:val="0"/>
        </w:numPr>
        <w:tabs>
          <w:tab w:val="clear" w:pos="426"/>
        </w:tabs>
        <w:spacing w:after="160" w:line="259" w:lineRule="auto"/>
        <w:ind w:left="14"/>
        <w:contextualSpacing/>
        <w:rPr>
          <w:rFonts w:cs="Arial"/>
          <w:b/>
          <w:color w:val="auto"/>
          <w:u w:val="single"/>
        </w:rPr>
      </w:pPr>
      <w:r w:rsidRPr="005A0D03">
        <w:rPr>
          <w:rFonts w:cs="Arial"/>
          <w:b/>
          <w:color w:val="auto"/>
          <w:u w:val="single"/>
        </w:rPr>
        <w:t>Oxford City Council’s Covid-19 Additional Relief Fund</w:t>
      </w:r>
      <w:r w:rsidR="0024245B" w:rsidRPr="005A0D03">
        <w:rPr>
          <w:rFonts w:cs="Arial"/>
          <w:b/>
          <w:color w:val="auto"/>
          <w:u w:val="single"/>
        </w:rPr>
        <w:t xml:space="preserve"> Scheme</w:t>
      </w:r>
    </w:p>
    <w:p w:rsidR="00BD5CE9" w:rsidRPr="00207984" w:rsidRDefault="00BD5CE9" w:rsidP="0024245B">
      <w:pPr>
        <w:pStyle w:val="ListParagraph"/>
        <w:numPr>
          <w:ilvl w:val="0"/>
          <w:numId w:val="0"/>
        </w:numPr>
        <w:tabs>
          <w:tab w:val="clear" w:pos="426"/>
        </w:tabs>
        <w:spacing w:after="160" w:line="259" w:lineRule="auto"/>
        <w:ind w:left="360"/>
        <w:contextualSpacing/>
        <w:rPr>
          <w:rFonts w:cs="Arial"/>
          <w:b/>
          <w:color w:val="auto"/>
          <w:sz w:val="28"/>
          <w:szCs w:val="28"/>
          <w:u w:val="single"/>
        </w:rPr>
      </w:pPr>
    </w:p>
    <w:p w:rsidR="00237101" w:rsidRPr="00207984" w:rsidRDefault="00237101" w:rsidP="005A0D03">
      <w:pPr>
        <w:pStyle w:val="ListParagraph"/>
        <w:numPr>
          <w:ilvl w:val="0"/>
          <w:numId w:val="6"/>
        </w:numPr>
        <w:tabs>
          <w:tab w:val="clear" w:pos="426"/>
          <w:tab w:val="left" w:pos="490"/>
        </w:tabs>
        <w:spacing w:after="120"/>
        <w:ind w:left="462" w:hanging="462"/>
        <w:rPr>
          <w:rFonts w:cs="Arial"/>
          <w:color w:val="auto"/>
        </w:rPr>
      </w:pPr>
      <w:r w:rsidRPr="00207984">
        <w:rPr>
          <w:rFonts w:cs="Arial"/>
          <w:color w:val="auto"/>
        </w:rPr>
        <w:t>In relation to the Discretionary CARF Scheme, the Council will have regard to the guidance issued.</w:t>
      </w:r>
      <w:r w:rsidR="00C95DB7" w:rsidRPr="00207984">
        <w:rPr>
          <w:rFonts w:cs="Arial"/>
          <w:color w:val="auto"/>
        </w:rPr>
        <w:t xml:space="preserve"> </w:t>
      </w:r>
      <w:r w:rsidR="00A0376E">
        <w:rPr>
          <w:rFonts w:cs="Arial"/>
          <w:color w:val="auto"/>
        </w:rPr>
        <w:t xml:space="preserve">The </w:t>
      </w:r>
      <w:r w:rsidR="00002911">
        <w:rPr>
          <w:rFonts w:cs="Arial"/>
          <w:color w:val="auto"/>
        </w:rPr>
        <w:t xml:space="preserve">Council’s scheme </w:t>
      </w:r>
      <w:r w:rsidR="00A0376E">
        <w:rPr>
          <w:rFonts w:cs="Arial"/>
          <w:color w:val="auto"/>
        </w:rPr>
        <w:t>has been drawn up to provide the widest benefit to those businesses who have not had any previous support and is based on schemes implemented by other authorities. The Council</w:t>
      </w:r>
      <w:r w:rsidR="005A0D03">
        <w:rPr>
          <w:rFonts w:cs="Arial"/>
          <w:color w:val="auto"/>
        </w:rPr>
        <w:t>’</w:t>
      </w:r>
      <w:r w:rsidR="00A0376E">
        <w:rPr>
          <w:rFonts w:cs="Arial"/>
          <w:color w:val="auto"/>
        </w:rPr>
        <w:t>s scheme will</w:t>
      </w:r>
      <w:r w:rsidRPr="00207984">
        <w:rPr>
          <w:rFonts w:cs="Arial"/>
          <w:color w:val="auto"/>
        </w:rPr>
        <w:t>:</w:t>
      </w:r>
    </w:p>
    <w:p w:rsidR="00237101" w:rsidRDefault="00237101" w:rsidP="005A0D03">
      <w:pPr>
        <w:pStyle w:val="ListParagraph"/>
        <w:numPr>
          <w:ilvl w:val="0"/>
          <w:numId w:val="7"/>
        </w:numPr>
        <w:ind w:left="952" w:hanging="490"/>
        <w:rPr>
          <w:rFonts w:cs="Arial"/>
          <w:color w:val="auto"/>
        </w:rPr>
      </w:pPr>
      <w:r w:rsidRPr="00207984">
        <w:rPr>
          <w:rFonts w:cs="Arial"/>
          <w:color w:val="auto"/>
        </w:rPr>
        <w:t>not award relief to ratepayers who for the same period of the relief either are or would have been eligible for the Extended Retail Discount (covering Retail, Hospitality and Leisure), the Nursery Discount or the Airport and Ground Ope</w:t>
      </w:r>
      <w:r w:rsidR="005A0D03">
        <w:rPr>
          <w:rFonts w:cs="Arial"/>
          <w:color w:val="auto"/>
        </w:rPr>
        <w:t>rations Support Scheme (AGOSS);</w:t>
      </w:r>
    </w:p>
    <w:p w:rsidR="005A0D03" w:rsidRPr="00207984" w:rsidRDefault="005A0D03" w:rsidP="005A0D03">
      <w:pPr>
        <w:pStyle w:val="ListParagraph"/>
        <w:numPr>
          <w:ilvl w:val="0"/>
          <w:numId w:val="0"/>
        </w:numPr>
        <w:ind w:left="952"/>
        <w:rPr>
          <w:rFonts w:cs="Arial"/>
          <w:color w:val="auto"/>
        </w:rPr>
      </w:pPr>
    </w:p>
    <w:p w:rsidR="005A0D03" w:rsidRDefault="00237101" w:rsidP="005A0D03">
      <w:pPr>
        <w:pStyle w:val="ListParagraph"/>
        <w:numPr>
          <w:ilvl w:val="0"/>
          <w:numId w:val="7"/>
        </w:numPr>
        <w:ind w:left="952" w:hanging="490"/>
        <w:rPr>
          <w:rFonts w:cs="Arial"/>
          <w:color w:val="auto"/>
        </w:rPr>
      </w:pPr>
      <w:r w:rsidRPr="00207984">
        <w:rPr>
          <w:rFonts w:cs="Arial"/>
          <w:color w:val="auto"/>
        </w:rPr>
        <w:t>not award relief to a hereditament for a period when it is unoccupied (other than hereditaments which have become closed temporarily due to the government’s advice on COVID-19, which should be treated as occupied f</w:t>
      </w:r>
      <w:r w:rsidR="005A0D03">
        <w:rPr>
          <w:rFonts w:cs="Arial"/>
          <w:color w:val="auto"/>
        </w:rPr>
        <w:t>or the purposes of this relief);</w:t>
      </w:r>
      <w:r w:rsidRPr="00207984">
        <w:rPr>
          <w:rFonts w:cs="Arial"/>
          <w:color w:val="auto"/>
        </w:rPr>
        <w:t xml:space="preserve"> and</w:t>
      </w:r>
    </w:p>
    <w:p w:rsidR="00237101" w:rsidRPr="005A0D03" w:rsidRDefault="00237101" w:rsidP="005A0D03">
      <w:pPr>
        <w:pStyle w:val="ListParagraph"/>
        <w:numPr>
          <w:ilvl w:val="0"/>
          <w:numId w:val="0"/>
        </w:numPr>
        <w:ind w:left="426"/>
        <w:rPr>
          <w:rFonts w:cs="Arial"/>
          <w:color w:val="auto"/>
        </w:rPr>
      </w:pPr>
      <w:r w:rsidRPr="005A0D03">
        <w:rPr>
          <w:rFonts w:cs="Arial"/>
          <w:color w:val="auto"/>
        </w:rPr>
        <w:t xml:space="preserve"> </w:t>
      </w:r>
    </w:p>
    <w:p w:rsidR="00237101" w:rsidRDefault="00237101" w:rsidP="005A0D03">
      <w:pPr>
        <w:pStyle w:val="ListParagraph"/>
        <w:numPr>
          <w:ilvl w:val="0"/>
          <w:numId w:val="7"/>
        </w:numPr>
        <w:ind w:left="952" w:hanging="490"/>
        <w:rPr>
          <w:rFonts w:cs="Arial"/>
          <w:color w:val="auto"/>
        </w:rPr>
      </w:pPr>
      <w:proofErr w:type="gramStart"/>
      <w:r w:rsidRPr="00207984">
        <w:rPr>
          <w:rFonts w:cs="Arial"/>
          <w:color w:val="auto"/>
        </w:rPr>
        <w:lastRenderedPageBreak/>
        <w:t>direct</w:t>
      </w:r>
      <w:proofErr w:type="gramEnd"/>
      <w:r w:rsidRPr="00207984">
        <w:rPr>
          <w:rFonts w:cs="Arial"/>
          <w:color w:val="auto"/>
        </w:rPr>
        <w:t xml:space="preserve"> support towards ratepayers who have been adversely affected by the pandemic and have been unable to adequately adapt to that impact. </w:t>
      </w:r>
    </w:p>
    <w:p w:rsidR="005A0D03" w:rsidRPr="005A0D03" w:rsidRDefault="005A0D03" w:rsidP="005A0D03">
      <w:pPr>
        <w:pStyle w:val="ListParagraph"/>
        <w:numPr>
          <w:ilvl w:val="0"/>
          <w:numId w:val="0"/>
        </w:numPr>
        <w:ind w:left="426"/>
        <w:rPr>
          <w:rFonts w:cs="Arial"/>
          <w:color w:val="auto"/>
        </w:rPr>
      </w:pPr>
    </w:p>
    <w:p w:rsidR="00237101" w:rsidRDefault="00237101" w:rsidP="002069B4">
      <w:pPr>
        <w:pStyle w:val="ListParagraph"/>
        <w:numPr>
          <w:ilvl w:val="0"/>
          <w:numId w:val="6"/>
        </w:numPr>
        <w:tabs>
          <w:tab w:val="clear" w:pos="426"/>
        </w:tabs>
        <w:spacing w:after="160" w:line="259" w:lineRule="auto"/>
        <w:ind w:left="476" w:hanging="448"/>
        <w:contextualSpacing/>
        <w:rPr>
          <w:rFonts w:cs="Arial"/>
          <w:color w:val="auto"/>
        </w:rPr>
      </w:pPr>
      <w:r w:rsidRPr="00207984">
        <w:rPr>
          <w:rFonts w:cs="Arial"/>
          <w:color w:val="auto"/>
        </w:rPr>
        <w:t xml:space="preserve">In line with the legal restrictions in section 47(8A) of the Local Government Finance Act 1988, billing authorities may not grant the discount to themselves, certain </w:t>
      </w:r>
      <w:proofErr w:type="spellStart"/>
      <w:r w:rsidRPr="00207984">
        <w:rPr>
          <w:rFonts w:cs="Arial"/>
          <w:color w:val="auto"/>
        </w:rPr>
        <w:t>precepting</w:t>
      </w:r>
      <w:proofErr w:type="spellEnd"/>
      <w:r w:rsidRPr="00207984">
        <w:rPr>
          <w:rFonts w:cs="Arial"/>
          <w:color w:val="auto"/>
        </w:rPr>
        <w:t xml:space="preserve"> authorities (e.g. a parish or county council) or a functional body, within the meaning of the Greater London Authority Act 1999</w:t>
      </w:r>
      <w:r w:rsidR="00B050F9">
        <w:rPr>
          <w:rFonts w:cs="Arial"/>
          <w:color w:val="auto"/>
        </w:rPr>
        <w:t>.</w:t>
      </w:r>
    </w:p>
    <w:p w:rsidR="002069B4" w:rsidRDefault="002069B4" w:rsidP="002069B4">
      <w:pPr>
        <w:pStyle w:val="ListParagraph"/>
        <w:numPr>
          <w:ilvl w:val="0"/>
          <w:numId w:val="0"/>
        </w:numPr>
        <w:tabs>
          <w:tab w:val="clear" w:pos="426"/>
        </w:tabs>
        <w:spacing w:after="160" w:line="259" w:lineRule="auto"/>
        <w:ind w:left="476"/>
        <w:contextualSpacing/>
        <w:rPr>
          <w:rFonts w:cs="Arial"/>
          <w:color w:val="auto"/>
        </w:rPr>
      </w:pPr>
    </w:p>
    <w:p w:rsidR="00237101" w:rsidRDefault="00237101" w:rsidP="002069B4">
      <w:pPr>
        <w:pStyle w:val="ListParagraph"/>
        <w:numPr>
          <w:ilvl w:val="0"/>
          <w:numId w:val="6"/>
        </w:numPr>
        <w:tabs>
          <w:tab w:val="clear" w:pos="426"/>
        </w:tabs>
        <w:spacing w:after="160" w:line="259" w:lineRule="auto"/>
        <w:ind w:left="476" w:hanging="448"/>
        <w:contextualSpacing/>
        <w:rPr>
          <w:rFonts w:cs="Arial"/>
          <w:color w:val="auto"/>
        </w:rPr>
      </w:pPr>
      <w:r w:rsidRPr="00B050F9">
        <w:rPr>
          <w:rFonts w:cs="Arial"/>
          <w:color w:val="auto"/>
        </w:rPr>
        <w:t>The Council will determine the level of relief for individual hereditaments</w:t>
      </w:r>
      <w:r w:rsidR="00B050F9" w:rsidRPr="00B050F9">
        <w:rPr>
          <w:rFonts w:cs="Arial"/>
          <w:color w:val="auto"/>
        </w:rPr>
        <w:t>.</w:t>
      </w:r>
    </w:p>
    <w:p w:rsidR="002069B4" w:rsidRPr="002069B4" w:rsidRDefault="002069B4" w:rsidP="002069B4">
      <w:pPr>
        <w:pStyle w:val="ListParagraph"/>
        <w:numPr>
          <w:ilvl w:val="0"/>
          <w:numId w:val="0"/>
        </w:numPr>
        <w:ind w:left="426"/>
        <w:rPr>
          <w:rFonts w:cs="Arial"/>
          <w:color w:val="auto"/>
        </w:rPr>
      </w:pPr>
    </w:p>
    <w:p w:rsidR="00B050F9" w:rsidRDefault="00237101" w:rsidP="002069B4">
      <w:pPr>
        <w:pStyle w:val="ListParagraph"/>
        <w:numPr>
          <w:ilvl w:val="0"/>
          <w:numId w:val="6"/>
        </w:numPr>
        <w:spacing w:after="120"/>
        <w:ind w:left="476" w:hanging="448"/>
        <w:rPr>
          <w:rFonts w:cs="Arial"/>
          <w:color w:val="auto"/>
        </w:rPr>
      </w:pPr>
      <w:r w:rsidRPr="00B050F9">
        <w:rPr>
          <w:rFonts w:cs="Arial"/>
          <w:color w:val="auto"/>
        </w:rPr>
        <w:t xml:space="preserve">CARF should be </w:t>
      </w:r>
      <w:r w:rsidR="00A0376E">
        <w:rPr>
          <w:rFonts w:cs="Arial"/>
          <w:color w:val="auto"/>
        </w:rPr>
        <w:t>a</w:t>
      </w:r>
      <w:r w:rsidRPr="00B050F9">
        <w:rPr>
          <w:rFonts w:cs="Arial"/>
          <w:color w:val="auto"/>
        </w:rPr>
        <w:t xml:space="preserve">pplied after mandatory reliefs and other discretionary reliefs funded by section 31 grants have been applied, excluding those where billing authorities have provided relief using their wider discretionary relief powers introduced by the Localism Act 2011 which are </w:t>
      </w:r>
      <w:r w:rsidR="00B050F9">
        <w:rPr>
          <w:rFonts w:cs="Arial"/>
          <w:color w:val="auto"/>
        </w:rPr>
        <w:t>not funded by section 31 grants.</w:t>
      </w:r>
    </w:p>
    <w:p w:rsidR="002069B4" w:rsidRPr="002069B4" w:rsidRDefault="002069B4" w:rsidP="002069B4">
      <w:pPr>
        <w:pStyle w:val="ListParagraph"/>
        <w:numPr>
          <w:ilvl w:val="0"/>
          <w:numId w:val="0"/>
        </w:numPr>
        <w:ind w:left="426"/>
        <w:rPr>
          <w:rFonts w:cs="Arial"/>
          <w:color w:val="auto"/>
        </w:rPr>
      </w:pPr>
    </w:p>
    <w:p w:rsidR="00B050F9" w:rsidRDefault="00237101" w:rsidP="002069B4">
      <w:pPr>
        <w:pStyle w:val="ListParagraph"/>
        <w:numPr>
          <w:ilvl w:val="0"/>
          <w:numId w:val="6"/>
        </w:numPr>
        <w:spacing w:after="120"/>
        <w:ind w:left="476" w:hanging="448"/>
        <w:rPr>
          <w:rFonts w:cs="Arial"/>
          <w:color w:val="auto"/>
        </w:rPr>
      </w:pPr>
      <w:r w:rsidRPr="00B050F9">
        <w:rPr>
          <w:rFonts w:cs="Arial"/>
          <w:color w:val="auto"/>
        </w:rPr>
        <w:t>Former categories of discretionary relief prior to the Localism Act should be applied first in the sequence of discretionary reliefs and, therefore, before any relief provided under the COVID-19 Additional Relief Fund (CARF)</w:t>
      </w:r>
      <w:r w:rsidR="00B050F9" w:rsidRPr="00B050F9">
        <w:rPr>
          <w:rFonts w:cs="Arial"/>
          <w:color w:val="auto"/>
        </w:rPr>
        <w:t>.</w:t>
      </w:r>
    </w:p>
    <w:p w:rsidR="002069B4" w:rsidRPr="002069B4" w:rsidRDefault="002069B4" w:rsidP="002069B4">
      <w:pPr>
        <w:pStyle w:val="ListParagraph"/>
        <w:numPr>
          <w:ilvl w:val="0"/>
          <w:numId w:val="0"/>
        </w:numPr>
        <w:ind w:left="426"/>
        <w:rPr>
          <w:rFonts w:cs="Arial"/>
          <w:color w:val="auto"/>
        </w:rPr>
      </w:pPr>
    </w:p>
    <w:p w:rsidR="00237101" w:rsidRPr="003D588B" w:rsidRDefault="00237101" w:rsidP="002069B4">
      <w:pPr>
        <w:pStyle w:val="ListParagraph"/>
        <w:numPr>
          <w:ilvl w:val="0"/>
          <w:numId w:val="6"/>
        </w:numPr>
        <w:spacing w:after="120"/>
        <w:ind w:left="476" w:hanging="448"/>
        <w:rPr>
          <w:rFonts w:cs="Arial"/>
          <w:color w:val="auto"/>
        </w:rPr>
      </w:pPr>
      <w:r w:rsidRPr="003D588B">
        <w:rPr>
          <w:rFonts w:cs="Arial"/>
          <w:color w:val="auto"/>
        </w:rPr>
        <w:t xml:space="preserve">The Council can use its discretionary powers to offer further discounts outside </w:t>
      </w:r>
      <w:r w:rsidR="0024245B" w:rsidRPr="003D588B">
        <w:rPr>
          <w:rFonts w:cs="Arial"/>
          <w:color w:val="auto"/>
        </w:rPr>
        <w:t xml:space="preserve">of </w:t>
      </w:r>
      <w:r w:rsidRPr="003D588B">
        <w:rPr>
          <w:rFonts w:cs="Arial"/>
          <w:color w:val="auto"/>
        </w:rPr>
        <w:t>this scheme. However, where an authority applies a locally funded relief, this must be applied after CARF</w:t>
      </w:r>
      <w:r w:rsidR="002069B4">
        <w:rPr>
          <w:rFonts w:cs="Arial"/>
          <w:color w:val="auto"/>
        </w:rPr>
        <w:t>.</w:t>
      </w:r>
    </w:p>
    <w:p w:rsidR="00207984" w:rsidRPr="002069B4" w:rsidRDefault="00237101" w:rsidP="002069B4">
      <w:pPr>
        <w:pStyle w:val="ListParagraph"/>
        <w:numPr>
          <w:ilvl w:val="0"/>
          <w:numId w:val="0"/>
        </w:numPr>
        <w:tabs>
          <w:tab w:val="clear" w:pos="426"/>
        </w:tabs>
        <w:rPr>
          <w:rFonts w:cs="Arial"/>
          <w:b/>
          <w:color w:val="auto"/>
          <w:u w:val="single"/>
        </w:rPr>
      </w:pPr>
      <w:r w:rsidRPr="002069B4">
        <w:rPr>
          <w:rFonts w:cs="Arial"/>
          <w:b/>
          <w:color w:val="auto"/>
          <w:u w:val="single"/>
        </w:rPr>
        <w:t>Particular</w:t>
      </w:r>
      <w:r w:rsidR="00FA4E38" w:rsidRPr="002069B4">
        <w:rPr>
          <w:rFonts w:cs="Arial"/>
          <w:b/>
          <w:color w:val="auto"/>
          <w:u w:val="single"/>
        </w:rPr>
        <w:t>s of the</w:t>
      </w:r>
      <w:r w:rsidR="00BD5CE9" w:rsidRPr="002069B4">
        <w:rPr>
          <w:rFonts w:cs="Arial"/>
          <w:b/>
          <w:color w:val="auto"/>
          <w:u w:val="single"/>
        </w:rPr>
        <w:t xml:space="preserve"> scheme</w:t>
      </w:r>
    </w:p>
    <w:p w:rsidR="00BD5CE9" w:rsidRPr="00B050F9" w:rsidRDefault="00BD5CE9" w:rsidP="00B050F9">
      <w:pPr>
        <w:pStyle w:val="ListParagraph"/>
        <w:numPr>
          <w:ilvl w:val="0"/>
          <w:numId w:val="0"/>
        </w:numPr>
        <w:ind w:left="426"/>
        <w:rPr>
          <w:rFonts w:cs="Arial"/>
          <w:b/>
          <w:color w:val="auto"/>
          <w:sz w:val="28"/>
          <w:szCs w:val="28"/>
          <w:u w:val="single"/>
        </w:rPr>
      </w:pPr>
    </w:p>
    <w:p w:rsidR="002069B4" w:rsidRDefault="00F6217E" w:rsidP="002069B4">
      <w:pPr>
        <w:pStyle w:val="ListParagraph"/>
        <w:numPr>
          <w:ilvl w:val="0"/>
          <w:numId w:val="6"/>
        </w:numPr>
        <w:tabs>
          <w:tab w:val="clear" w:pos="426"/>
          <w:tab w:val="left" w:pos="490"/>
        </w:tabs>
        <w:ind w:left="476" w:hanging="476"/>
        <w:rPr>
          <w:rFonts w:cs="Arial"/>
          <w:color w:val="auto"/>
        </w:rPr>
      </w:pPr>
      <w:r>
        <w:rPr>
          <w:rFonts w:cs="Arial"/>
          <w:color w:val="auto"/>
        </w:rPr>
        <w:t>The Council expects the scheme to be operational from April 2022 until September 2022. It is anticipated that a closing date for applications could be 3</w:t>
      </w:r>
      <w:r w:rsidR="00A0376E">
        <w:rPr>
          <w:rFonts w:cs="Arial"/>
          <w:color w:val="auto"/>
        </w:rPr>
        <w:t>0</w:t>
      </w:r>
      <w:r w:rsidR="00A0376E" w:rsidRPr="00A0376E">
        <w:rPr>
          <w:rFonts w:cs="Arial"/>
          <w:color w:val="auto"/>
          <w:vertAlign w:val="superscript"/>
        </w:rPr>
        <w:t>th</w:t>
      </w:r>
      <w:r w:rsidR="00A0376E">
        <w:rPr>
          <w:rFonts w:cs="Arial"/>
          <w:color w:val="auto"/>
        </w:rPr>
        <w:t xml:space="preserve"> June </w:t>
      </w:r>
      <w:r>
        <w:rPr>
          <w:rFonts w:cs="Arial"/>
          <w:color w:val="auto"/>
        </w:rPr>
        <w:t>2022, with this being extended as necessary if applications are slow to come in.</w:t>
      </w:r>
    </w:p>
    <w:p w:rsidR="002069B4" w:rsidRPr="002069B4" w:rsidRDefault="002069B4" w:rsidP="002069B4">
      <w:pPr>
        <w:pStyle w:val="ListParagraph"/>
        <w:numPr>
          <w:ilvl w:val="0"/>
          <w:numId w:val="0"/>
        </w:numPr>
        <w:tabs>
          <w:tab w:val="clear" w:pos="426"/>
          <w:tab w:val="left" w:pos="490"/>
        </w:tabs>
        <w:ind w:left="476"/>
        <w:rPr>
          <w:rFonts w:cs="Arial"/>
          <w:color w:val="auto"/>
        </w:rPr>
      </w:pPr>
    </w:p>
    <w:p w:rsidR="00237101" w:rsidRDefault="00FA4E38" w:rsidP="002069B4">
      <w:pPr>
        <w:pStyle w:val="ListParagraph"/>
        <w:numPr>
          <w:ilvl w:val="0"/>
          <w:numId w:val="6"/>
        </w:numPr>
        <w:tabs>
          <w:tab w:val="clear" w:pos="426"/>
          <w:tab w:val="left" w:pos="490"/>
        </w:tabs>
        <w:ind w:left="476" w:hanging="476"/>
        <w:rPr>
          <w:rFonts w:cs="Arial"/>
          <w:color w:val="auto"/>
        </w:rPr>
      </w:pPr>
      <w:r w:rsidRPr="00207984">
        <w:rPr>
          <w:rFonts w:cs="Arial"/>
          <w:color w:val="auto"/>
        </w:rPr>
        <w:t xml:space="preserve">The Council </w:t>
      </w:r>
      <w:r w:rsidR="00237101" w:rsidRPr="00207984">
        <w:rPr>
          <w:rFonts w:cs="Arial"/>
          <w:color w:val="auto"/>
        </w:rPr>
        <w:t>will adjust accounts for all changes in circumstances that occur in relation to rates payable in the financial year 2021/22, for example, a backdated change to the rateable value of the hereditament. This change of circumstances could arise during the year in question or during a later year</w:t>
      </w:r>
      <w:r w:rsidR="003D588B">
        <w:rPr>
          <w:rFonts w:cs="Arial"/>
          <w:color w:val="auto"/>
        </w:rPr>
        <w:t>.</w:t>
      </w:r>
    </w:p>
    <w:p w:rsidR="002069B4" w:rsidRPr="002069B4" w:rsidRDefault="002069B4" w:rsidP="002069B4">
      <w:pPr>
        <w:pStyle w:val="ListParagraph"/>
        <w:numPr>
          <w:ilvl w:val="0"/>
          <w:numId w:val="0"/>
        </w:numPr>
        <w:ind w:left="426"/>
        <w:rPr>
          <w:rFonts w:cs="Arial"/>
          <w:color w:val="auto"/>
        </w:rPr>
      </w:pPr>
    </w:p>
    <w:p w:rsidR="00237101" w:rsidRDefault="00FA4E38" w:rsidP="002069B4">
      <w:pPr>
        <w:pStyle w:val="ListParagraph"/>
        <w:numPr>
          <w:ilvl w:val="0"/>
          <w:numId w:val="6"/>
        </w:numPr>
        <w:tabs>
          <w:tab w:val="clear" w:pos="426"/>
          <w:tab w:val="left" w:pos="490"/>
        </w:tabs>
        <w:ind w:left="476" w:hanging="476"/>
        <w:rPr>
          <w:rFonts w:cs="Arial"/>
          <w:color w:val="auto"/>
        </w:rPr>
      </w:pPr>
      <w:r w:rsidRPr="00B050F9">
        <w:rPr>
          <w:rFonts w:cs="Arial"/>
          <w:color w:val="auto"/>
        </w:rPr>
        <w:t>The Council wil</w:t>
      </w:r>
      <w:r w:rsidR="00237101" w:rsidRPr="00B050F9">
        <w:rPr>
          <w:rFonts w:cs="Arial"/>
          <w:color w:val="auto"/>
        </w:rPr>
        <w:t>l make decisions which are conditional upon eligibility criteria. If a change in circumstances renders a property ineligible or reduces the value of the award, the relevant rates demand notice will be amended in the year to reflect the loss of the relief. Relief will only be awarded subject to a property’s continuing eligibility</w:t>
      </w:r>
      <w:r w:rsidR="003D588B" w:rsidRPr="00B050F9">
        <w:rPr>
          <w:rFonts w:cs="Arial"/>
          <w:color w:val="auto"/>
        </w:rPr>
        <w:t>.</w:t>
      </w:r>
    </w:p>
    <w:p w:rsidR="002069B4" w:rsidRPr="002069B4" w:rsidRDefault="002069B4" w:rsidP="002069B4">
      <w:pPr>
        <w:ind w:left="426" w:hanging="426"/>
        <w:rPr>
          <w:rFonts w:cs="Arial"/>
          <w:color w:val="auto"/>
        </w:rPr>
      </w:pPr>
    </w:p>
    <w:p w:rsidR="00237101" w:rsidRDefault="00237101" w:rsidP="002069B4">
      <w:pPr>
        <w:pStyle w:val="ListParagraph"/>
        <w:numPr>
          <w:ilvl w:val="0"/>
          <w:numId w:val="6"/>
        </w:numPr>
        <w:tabs>
          <w:tab w:val="clear" w:pos="426"/>
          <w:tab w:val="left" w:pos="490"/>
        </w:tabs>
        <w:ind w:left="476" w:hanging="476"/>
        <w:rPr>
          <w:rFonts w:cs="Arial"/>
          <w:color w:val="auto"/>
        </w:rPr>
      </w:pPr>
      <w:r w:rsidRPr="003D588B">
        <w:rPr>
          <w:rFonts w:cs="Arial"/>
          <w:color w:val="auto"/>
        </w:rPr>
        <w:t>CARF will be awarded for the Financial Year 2021/22 only</w:t>
      </w:r>
      <w:r w:rsidR="003D588B">
        <w:rPr>
          <w:rFonts w:cs="Arial"/>
          <w:color w:val="auto"/>
        </w:rPr>
        <w:t>.</w:t>
      </w:r>
    </w:p>
    <w:p w:rsidR="002069B4" w:rsidRPr="002069B4" w:rsidRDefault="002069B4" w:rsidP="002069B4">
      <w:pPr>
        <w:pStyle w:val="ListParagraph"/>
        <w:numPr>
          <w:ilvl w:val="0"/>
          <w:numId w:val="0"/>
        </w:numPr>
        <w:ind w:left="426"/>
        <w:rPr>
          <w:rFonts w:cs="Arial"/>
          <w:color w:val="auto"/>
        </w:rPr>
      </w:pPr>
    </w:p>
    <w:p w:rsidR="00237101" w:rsidRDefault="00FA4E38" w:rsidP="002069B4">
      <w:pPr>
        <w:pStyle w:val="ListParagraph"/>
        <w:numPr>
          <w:ilvl w:val="0"/>
          <w:numId w:val="6"/>
        </w:numPr>
        <w:tabs>
          <w:tab w:val="clear" w:pos="426"/>
          <w:tab w:val="left" w:pos="490"/>
        </w:tabs>
        <w:ind w:left="476" w:hanging="476"/>
        <w:rPr>
          <w:rFonts w:cs="Arial"/>
          <w:color w:val="auto"/>
        </w:rPr>
      </w:pPr>
      <w:r w:rsidRPr="003D588B">
        <w:rPr>
          <w:rFonts w:cs="Arial"/>
          <w:color w:val="auto"/>
        </w:rPr>
        <w:t>The Council</w:t>
      </w:r>
      <w:r w:rsidR="002069B4">
        <w:rPr>
          <w:rFonts w:cs="Arial"/>
          <w:color w:val="auto"/>
        </w:rPr>
        <w:t xml:space="preserve"> will award a percentage</w:t>
      </w:r>
      <w:r w:rsidR="00237101" w:rsidRPr="003D588B">
        <w:rPr>
          <w:rFonts w:cs="Arial"/>
          <w:color w:val="auto"/>
        </w:rPr>
        <w:t xml:space="preserve"> relief to each property it considers to have been affected by </w:t>
      </w:r>
      <w:proofErr w:type="spellStart"/>
      <w:r w:rsidR="00237101" w:rsidRPr="003D588B">
        <w:rPr>
          <w:rFonts w:cs="Arial"/>
          <w:color w:val="auto"/>
        </w:rPr>
        <w:t>Covid</w:t>
      </w:r>
      <w:proofErr w:type="spellEnd"/>
      <w:r w:rsidR="00237101" w:rsidRPr="003D588B">
        <w:rPr>
          <w:rFonts w:cs="Arial"/>
          <w:color w:val="auto"/>
        </w:rPr>
        <w:t xml:space="preserve"> and has been unable to adapt</w:t>
      </w:r>
      <w:r w:rsidR="003D588B">
        <w:rPr>
          <w:rFonts w:cs="Arial"/>
          <w:color w:val="auto"/>
        </w:rPr>
        <w:t>.</w:t>
      </w:r>
    </w:p>
    <w:p w:rsidR="002069B4" w:rsidRPr="002069B4" w:rsidRDefault="002069B4" w:rsidP="002069B4">
      <w:pPr>
        <w:pStyle w:val="ListParagraph"/>
        <w:numPr>
          <w:ilvl w:val="0"/>
          <w:numId w:val="0"/>
        </w:numPr>
        <w:ind w:left="426"/>
        <w:rPr>
          <w:rFonts w:cs="Arial"/>
          <w:color w:val="auto"/>
        </w:rPr>
      </w:pPr>
    </w:p>
    <w:p w:rsidR="00237101" w:rsidRDefault="00FA4E38" w:rsidP="002069B4">
      <w:pPr>
        <w:pStyle w:val="ListParagraph"/>
        <w:numPr>
          <w:ilvl w:val="0"/>
          <w:numId w:val="6"/>
        </w:numPr>
        <w:tabs>
          <w:tab w:val="clear" w:pos="426"/>
          <w:tab w:val="left" w:pos="490"/>
        </w:tabs>
        <w:ind w:left="476" w:hanging="476"/>
        <w:rPr>
          <w:rFonts w:cs="Arial"/>
          <w:color w:val="auto"/>
        </w:rPr>
      </w:pPr>
      <w:r w:rsidRPr="003D588B">
        <w:rPr>
          <w:rFonts w:cs="Arial"/>
          <w:color w:val="auto"/>
        </w:rPr>
        <w:t>The Council w</w:t>
      </w:r>
      <w:r w:rsidR="00237101" w:rsidRPr="003D588B">
        <w:rPr>
          <w:rFonts w:cs="Arial"/>
          <w:color w:val="auto"/>
        </w:rPr>
        <w:t>ill exclude cer</w:t>
      </w:r>
      <w:r w:rsidRPr="003D588B">
        <w:rPr>
          <w:rFonts w:cs="Arial"/>
          <w:color w:val="auto"/>
        </w:rPr>
        <w:t>tain categories of properties if</w:t>
      </w:r>
      <w:r w:rsidR="00237101" w:rsidRPr="003D588B">
        <w:rPr>
          <w:rFonts w:cs="Arial"/>
          <w:color w:val="auto"/>
        </w:rPr>
        <w:t xml:space="preserve"> it considers them to have been un</w:t>
      </w:r>
      <w:r w:rsidRPr="003D588B">
        <w:rPr>
          <w:rFonts w:cs="Arial"/>
          <w:color w:val="auto"/>
        </w:rPr>
        <w:t>affected by Covid-19</w:t>
      </w:r>
      <w:r w:rsidR="003D588B">
        <w:rPr>
          <w:rFonts w:cs="Arial"/>
          <w:color w:val="auto"/>
        </w:rPr>
        <w:t>.</w:t>
      </w:r>
    </w:p>
    <w:p w:rsidR="002069B4" w:rsidRPr="002069B4" w:rsidRDefault="002069B4" w:rsidP="002069B4">
      <w:pPr>
        <w:pStyle w:val="ListParagraph"/>
        <w:numPr>
          <w:ilvl w:val="0"/>
          <w:numId w:val="0"/>
        </w:numPr>
        <w:ind w:left="426"/>
        <w:rPr>
          <w:rFonts w:cs="Arial"/>
          <w:color w:val="auto"/>
        </w:rPr>
      </w:pPr>
    </w:p>
    <w:p w:rsidR="00237101" w:rsidRDefault="00237101" w:rsidP="002069B4">
      <w:pPr>
        <w:pStyle w:val="ListParagraph"/>
        <w:numPr>
          <w:ilvl w:val="0"/>
          <w:numId w:val="6"/>
        </w:numPr>
        <w:tabs>
          <w:tab w:val="clear" w:pos="426"/>
          <w:tab w:val="left" w:pos="490"/>
        </w:tabs>
        <w:ind w:left="476" w:hanging="476"/>
        <w:rPr>
          <w:rFonts w:cs="Arial"/>
          <w:color w:val="auto"/>
        </w:rPr>
      </w:pPr>
      <w:r w:rsidRPr="003D588B">
        <w:rPr>
          <w:rFonts w:cs="Arial"/>
          <w:color w:val="auto"/>
        </w:rPr>
        <w:t>The ratepayer will need t</w:t>
      </w:r>
      <w:r w:rsidR="00FA4E38" w:rsidRPr="003D588B">
        <w:rPr>
          <w:rFonts w:cs="Arial"/>
          <w:color w:val="auto"/>
        </w:rPr>
        <w:t>o have been a ratepayer on 1</w:t>
      </w:r>
      <w:r w:rsidR="00FA4E38" w:rsidRPr="003D588B">
        <w:rPr>
          <w:rFonts w:cs="Arial"/>
          <w:color w:val="auto"/>
          <w:vertAlign w:val="superscript"/>
        </w:rPr>
        <w:t>st</w:t>
      </w:r>
      <w:r w:rsidR="00FA4E38" w:rsidRPr="003D588B">
        <w:rPr>
          <w:rFonts w:cs="Arial"/>
          <w:color w:val="auto"/>
        </w:rPr>
        <w:t xml:space="preserve"> April 2021</w:t>
      </w:r>
      <w:r w:rsidRPr="003D588B">
        <w:rPr>
          <w:rFonts w:cs="Arial"/>
          <w:color w:val="auto"/>
        </w:rPr>
        <w:t xml:space="preserve"> </w:t>
      </w:r>
      <w:r w:rsidR="00FA4E38" w:rsidRPr="003D588B">
        <w:rPr>
          <w:rFonts w:cs="Arial"/>
          <w:color w:val="auto"/>
        </w:rPr>
        <w:t xml:space="preserve">and in occupation throughout the 2021/22 financial year. They will need to be able to </w:t>
      </w:r>
      <w:r w:rsidR="00FA4E38" w:rsidRPr="003D588B">
        <w:rPr>
          <w:rFonts w:cs="Arial"/>
          <w:color w:val="auto"/>
        </w:rPr>
        <w:lastRenderedPageBreak/>
        <w:t>demonstrate that they have been adversely impacted by coronavirus restrictions at their premises either through social distancing, government recommendations to work from home, or reduced demand (where the business predominantly supplies other businesses who were unable to trade) and have been unable to adequately adapt to that impact.</w:t>
      </w:r>
    </w:p>
    <w:p w:rsidR="002069B4" w:rsidRPr="002069B4" w:rsidRDefault="002069B4" w:rsidP="002069B4">
      <w:pPr>
        <w:pStyle w:val="ListParagraph"/>
        <w:numPr>
          <w:ilvl w:val="0"/>
          <w:numId w:val="0"/>
        </w:numPr>
        <w:ind w:left="426"/>
        <w:rPr>
          <w:rFonts w:cs="Arial"/>
          <w:color w:val="auto"/>
        </w:rPr>
      </w:pPr>
    </w:p>
    <w:p w:rsidR="00FA4E38" w:rsidRDefault="00FA4E38" w:rsidP="002069B4">
      <w:pPr>
        <w:pStyle w:val="ListParagraph"/>
        <w:numPr>
          <w:ilvl w:val="0"/>
          <w:numId w:val="6"/>
        </w:numPr>
        <w:tabs>
          <w:tab w:val="clear" w:pos="426"/>
          <w:tab w:val="left" w:pos="490"/>
        </w:tabs>
        <w:ind w:left="476" w:hanging="476"/>
        <w:rPr>
          <w:rFonts w:cs="Arial"/>
          <w:color w:val="auto"/>
        </w:rPr>
      </w:pPr>
      <w:r w:rsidRPr="003D588B">
        <w:rPr>
          <w:rFonts w:cs="Arial"/>
          <w:color w:val="auto"/>
        </w:rPr>
        <w:t>Accounts will need to be provided to evidence the effects of Coronavirus on the business.</w:t>
      </w:r>
    </w:p>
    <w:p w:rsidR="002069B4" w:rsidRPr="002069B4" w:rsidRDefault="002069B4" w:rsidP="002069B4">
      <w:pPr>
        <w:pStyle w:val="ListParagraph"/>
        <w:numPr>
          <w:ilvl w:val="0"/>
          <w:numId w:val="0"/>
        </w:numPr>
        <w:ind w:left="426"/>
        <w:rPr>
          <w:rFonts w:cs="Arial"/>
          <w:color w:val="auto"/>
        </w:rPr>
      </w:pPr>
    </w:p>
    <w:p w:rsidR="001F133D" w:rsidRPr="00A05C0B" w:rsidRDefault="00EA1392" w:rsidP="002069B4">
      <w:pPr>
        <w:pStyle w:val="ListParagraph"/>
        <w:numPr>
          <w:ilvl w:val="0"/>
          <w:numId w:val="6"/>
        </w:numPr>
        <w:tabs>
          <w:tab w:val="clear" w:pos="426"/>
          <w:tab w:val="left" w:pos="490"/>
        </w:tabs>
        <w:ind w:left="476" w:hanging="476"/>
        <w:rPr>
          <w:rFonts w:cs="Arial"/>
          <w:color w:val="auto"/>
        </w:rPr>
      </w:pPr>
      <w:r>
        <w:rPr>
          <w:rFonts w:cs="Arial"/>
        </w:rPr>
        <w:t>Based on data held by the authority on businesses that would fit the criteria given in the Government guidance</w:t>
      </w:r>
      <w:r w:rsidR="001F133D">
        <w:rPr>
          <w:rFonts w:cs="Arial"/>
        </w:rPr>
        <w:t>,</w:t>
      </w:r>
      <w:r>
        <w:rPr>
          <w:rFonts w:cs="Arial"/>
        </w:rPr>
        <w:t xml:space="preserve"> modelling has been </w:t>
      </w:r>
      <w:r w:rsidR="001F133D">
        <w:rPr>
          <w:rFonts w:cs="Arial"/>
        </w:rPr>
        <w:t>under</w:t>
      </w:r>
      <w:r>
        <w:rPr>
          <w:rFonts w:cs="Arial"/>
        </w:rPr>
        <w:t xml:space="preserve">taken to identify the percentage of </w:t>
      </w:r>
      <w:r w:rsidR="001F133D">
        <w:rPr>
          <w:rFonts w:cs="Arial"/>
        </w:rPr>
        <w:t xml:space="preserve">funding against the </w:t>
      </w:r>
      <w:r>
        <w:rPr>
          <w:rFonts w:cs="Arial"/>
        </w:rPr>
        <w:t>chargeable business rates for 2021-22 that the authority could apply</w:t>
      </w:r>
      <w:r w:rsidR="001F133D">
        <w:rPr>
          <w:rFonts w:cs="Arial"/>
        </w:rPr>
        <w:t>,</w:t>
      </w:r>
      <w:r>
        <w:rPr>
          <w:rFonts w:cs="Arial"/>
        </w:rPr>
        <w:t xml:space="preserve"> together with a cap on the overall amount to be received by any one business. </w:t>
      </w:r>
      <w:r w:rsidR="00EC1D84">
        <w:rPr>
          <w:rFonts w:cs="Arial"/>
        </w:rPr>
        <w:t xml:space="preserve">Additionally the Council has looked at schemes drawn up by other councils. </w:t>
      </w:r>
    </w:p>
    <w:p w:rsidR="00A05C0B" w:rsidRPr="00A05C0B" w:rsidRDefault="00A05C0B" w:rsidP="00A05C0B">
      <w:pPr>
        <w:pStyle w:val="ListParagraph"/>
        <w:numPr>
          <w:ilvl w:val="0"/>
          <w:numId w:val="0"/>
        </w:numPr>
        <w:ind w:left="426"/>
        <w:rPr>
          <w:rFonts w:cs="Arial"/>
          <w:color w:val="auto"/>
        </w:rPr>
      </w:pPr>
    </w:p>
    <w:p w:rsidR="005F558C" w:rsidRPr="00A05C0B" w:rsidRDefault="00BD5CE9" w:rsidP="002069B4">
      <w:pPr>
        <w:pStyle w:val="ListParagraph"/>
        <w:numPr>
          <w:ilvl w:val="0"/>
          <w:numId w:val="6"/>
        </w:numPr>
        <w:tabs>
          <w:tab w:val="clear" w:pos="426"/>
          <w:tab w:val="left" w:pos="490"/>
        </w:tabs>
        <w:ind w:left="476" w:hanging="476"/>
        <w:rPr>
          <w:rFonts w:cs="Arial"/>
          <w:color w:val="auto"/>
        </w:rPr>
      </w:pPr>
      <w:r>
        <w:rPr>
          <w:rFonts w:cs="Arial"/>
        </w:rPr>
        <w:t>Based on analysis of the number of businesses who may qualify for CARF f</w:t>
      </w:r>
      <w:r w:rsidR="00EA1392">
        <w:rPr>
          <w:rFonts w:cs="Arial"/>
        </w:rPr>
        <w:t>our potential</w:t>
      </w:r>
      <w:r w:rsidR="00EC1D84">
        <w:rPr>
          <w:rFonts w:cs="Arial"/>
        </w:rPr>
        <w:t xml:space="preserve"> models are given in </w:t>
      </w:r>
      <w:r w:rsidR="00EA1392">
        <w:rPr>
          <w:rFonts w:cs="Arial"/>
        </w:rPr>
        <w:t xml:space="preserve"> </w:t>
      </w:r>
      <w:r w:rsidR="00EC1D84">
        <w:rPr>
          <w:rFonts w:cs="Arial"/>
        </w:rPr>
        <w:t>Table 1 below</w:t>
      </w:r>
      <w:r>
        <w:rPr>
          <w:rFonts w:cs="Arial"/>
        </w:rPr>
        <w:t xml:space="preserve"> based on different allocation criteria:</w:t>
      </w:r>
      <w:r w:rsidR="00EC1D84">
        <w:rPr>
          <w:rFonts w:cs="Arial"/>
        </w:rPr>
        <w:t xml:space="preserve"> </w:t>
      </w:r>
    </w:p>
    <w:p w:rsidR="00A05C0B" w:rsidRPr="00A05C0B" w:rsidRDefault="00A05C0B" w:rsidP="00A05C0B">
      <w:pPr>
        <w:pStyle w:val="ListParagraph"/>
        <w:numPr>
          <w:ilvl w:val="0"/>
          <w:numId w:val="0"/>
        </w:numPr>
        <w:ind w:left="426"/>
        <w:rPr>
          <w:rFonts w:cs="Arial"/>
          <w:color w:val="auto"/>
        </w:rPr>
      </w:pPr>
    </w:p>
    <w:tbl>
      <w:tblPr>
        <w:tblStyle w:val="TableGrid"/>
        <w:tblW w:w="0" w:type="auto"/>
        <w:tblInd w:w="456" w:type="dxa"/>
        <w:tblLook w:val="04A0" w:firstRow="1" w:lastRow="0" w:firstColumn="1" w:lastColumn="0" w:noHBand="0" w:noVBand="1"/>
      </w:tblPr>
      <w:tblGrid>
        <w:gridCol w:w="1613"/>
        <w:gridCol w:w="1804"/>
        <w:gridCol w:w="1805"/>
        <w:gridCol w:w="1805"/>
        <w:gridCol w:w="1805"/>
      </w:tblGrid>
      <w:tr w:rsidR="00EC1D84" w:rsidRPr="00DA08A4" w:rsidTr="00241784">
        <w:tc>
          <w:tcPr>
            <w:tcW w:w="8832" w:type="dxa"/>
            <w:gridSpan w:val="5"/>
            <w:shd w:val="clear" w:color="000000" w:fill="C6E0B4"/>
          </w:tcPr>
          <w:p w:rsidR="00EC1D84" w:rsidRDefault="00137D9F" w:rsidP="001F133D">
            <w:pPr>
              <w:spacing w:after="120"/>
              <w:rPr>
                <w:rFonts w:ascii="Calibri" w:hAnsi="Calibri" w:cs="Calibri"/>
                <w:b/>
                <w:bCs/>
                <w:sz w:val="22"/>
                <w:szCs w:val="22"/>
              </w:rPr>
            </w:pPr>
            <w:r>
              <w:rPr>
                <w:rFonts w:cs="Arial"/>
              </w:rPr>
              <w:t>T</w:t>
            </w:r>
            <w:r w:rsidR="00EC1D84">
              <w:rPr>
                <w:rFonts w:cs="Arial"/>
              </w:rPr>
              <w:t xml:space="preserve">able 1 : Example Models </w:t>
            </w:r>
          </w:p>
        </w:tc>
      </w:tr>
      <w:tr w:rsidR="00EA1392" w:rsidRPr="00DA08A4" w:rsidTr="00EA1392">
        <w:tc>
          <w:tcPr>
            <w:tcW w:w="1613" w:type="dxa"/>
            <w:shd w:val="clear" w:color="000000" w:fill="C6E0B4"/>
          </w:tcPr>
          <w:p w:rsidR="00EA1392" w:rsidRPr="00DA08A4" w:rsidRDefault="00EA1392" w:rsidP="00DA08A4">
            <w:pPr>
              <w:spacing w:after="120"/>
              <w:rPr>
                <w:rFonts w:ascii="Calibri" w:hAnsi="Calibri" w:cs="Calibri"/>
                <w:b/>
                <w:bCs/>
                <w:sz w:val="22"/>
                <w:szCs w:val="22"/>
              </w:rPr>
            </w:pPr>
          </w:p>
        </w:tc>
        <w:tc>
          <w:tcPr>
            <w:tcW w:w="1804" w:type="dxa"/>
            <w:shd w:val="clear" w:color="000000" w:fill="C6E0B4"/>
            <w:vAlign w:val="center"/>
          </w:tcPr>
          <w:p w:rsidR="00EA1392" w:rsidRPr="00DA08A4" w:rsidRDefault="00EA1392" w:rsidP="00EC1D84">
            <w:pPr>
              <w:spacing w:after="120"/>
              <w:jc w:val="center"/>
              <w:rPr>
                <w:rFonts w:ascii="Calibri" w:hAnsi="Calibri" w:cs="Calibri"/>
                <w:b/>
                <w:bCs/>
                <w:sz w:val="22"/>
                <w:szCs w:val="22"/>
              </w:rPr>
            </w:pPr>
            <w:r>
              <w:rPr>
                <w:rFonts w:ascii="Calibri" w:hAnsi="Calibri" w:cs="Calibri"/>
                <w:b/>
                <w:bCs/>
                <w:sz w:val="22"/>
                <w:szCs w:val="22"/>
              </w:rPr>
              <w:t>Model 1</w:t>
            </w:r>
          </w:p>
        </w:tc>
        <w:tc>
          <w:tcPr>
            <w:tcW w:w="1805" w:type="dxa"/>
            <w:shd w:val="clear" w:color="000000" w:fill="C6E0B4"/>
            <w:vAlign w:val="center"/>
          </w:tcPr>
          <w:p w:rsidR="00EA1392" w:rsidRPr="00DA08A4" w:rsidRDefault="00EA1392" w:rsidP="00EC1D84">
            <w:pPr>
              <w:spacing w:after="120"/>
              <w:jc w:val="center"/>
              <w:rPr>
                <w:rFonts w:ascii="Calibri" w:hAnsi="Calibri" w:cs="Calibri"/>
                <w:b/>
                <w:bCs/>
                <w:sz w:val="22"/>
                <w:szCs w:val="22"/>
              </w:rPr>
            </w:pPr>
            <w:r>
              <w:rPr>
                <w:rFonts w:ascii="Calibri" w:hAnsi="Calibri" w:cs="Calibri"/>
                <w:b/>
                <w:bCs/>
                <w:sz w:val="22"/>
                <w:szCs w:val="22"/>
              </w:rPr>
              <w:t>Model 2</w:t>
            </w:r>
          </w:p>
        </w:tc>
        <w:tc>
          <w:tcPr>
            <w:tcW w:w="1805" w:type="dxa"/>
            <w:shd w:val="clear" w:color="000000" w:fill="BDD7EE"/>
            <w:vAlign w:val="center"/>
          </w:tcPr>
          <w:p w:rsidR="00EA1392" w:rsidRPr="00DA08A4" w:rsidRDefault="00EA1392" w:rsidP="00EC1D84">
            <w:pPr>
              <w:spacing w:after="120"/>
              <w:jc w:val="center"/>
              <w:rPr>
                <w:rFonts w:ascii="Calibri" w:hAnsi="Calibri" w:cs="Calibri"/>
                <w:b/>
                <w:bCs/>
                <w:sz w:val="22"/>
                <w:szCs w:val="22"/>
              </w:rPr>
            </w:pPr>
            <w:r>
              <w:rPr>
                <w:rFonts w:ascii="Calibri" w:hAnsi="Calibri" w:cs="Calibri"/>
                <w:b/>
                <w:bCs/>
                <w:sz w:val="22"/>
                <w:szCs w:val="22"/>
              </w:rPr>
              <w:t>Model 3</w:t>
            </w:r>
          </w:p>
        </w:tc>
        <w:tc>
          <w:tcPr>
            <w:tcW w:w="1805" w:type="dxa"/>
            <w:shd w:val="clear" w:color="000000" w:fill="BDD7EE"/>
            <w:vAlign w:val="center"/>
          </w:tcPr>
          <w:p w:rsidR="00EA1392" w:rsidRPr="00DA08A4" w:rsidRDefault="00EA1392" w:rsidP="00EC1D84">
            <w:pPr>
              <w:spacing w:after="120"/>
              <w:jc w:val="center"/>
              <w:rPr>
                <w:rFonts w:ascii="Calibri" w:hAnsi="Calibri" w:cs="Calibri"/>
                <w:b/>
                <w:bCs/>
                <w:sz w:val="22"/>
                <w:szCs w:val="22"/>
              </w:rPr>
            </w:pPr>
            <w:r>
              <w:rPr>
                <w:rFonts w:ascii="Calibri" w:hAnsi="Calibri" w:cs="Calibri"/>
                <w:b/>
                <w:bCs/>
                <w:sz w:val="22"/>
                <w:szCs w:val="22"/>
              </w:rPr>
              <w:t>Model 4</w:t>
            </w:r>
          </w:p>
        </w:tc>
      </w:tr>
      <w:tr w:rsidR="00EA1392" w:rsidRPr="00DA08A4" w:rsidTr="00EA1392">
        <w:tc>
          <w:tcPr>
            <w:tcW w:w="1613" w:type="dxa"/>
            <w:shd w:val="clear" w:color="000000" w:fill="C6E0B4"/>
          </w:tcPr>
          <w:p w:rsidR="00EA1392" w:rsidRPr="00DA08A4" w:rsidRDefault="00BD5CE9" w:rsidP="00DA08A4">
            <w:pPr>
              <w:spacing w:after="120"/>
              <w:rPr>
                <w:rFonts w:ascii="Calibri" w:hAnsi="Calibri" w:cs="Calibri"/>
                <w:b/>
                <w:bCs/>
                <w:sz w:val="22"/>
                <w:szCs w:val="22"/>
              </w:rPr>
            </w:pPr>
            <w:r>
              <w:rPr>
                <w:rFonts w:ascii="Calibri" w:hAnsi="Calibri" w:cs="Calibri"/>
                <w:b/>
                <w:bCs/>
                <w:sz w:val="22"/>
                <w:szCs w:val="22"/>
              </w:rPr>
              <w:t>Criteria</w:t>
            </w:r>
          </w:p>
        </w:tc>
        <w:tc>
          <w:tcPr>
            <w:tcW w:w="1804" w:type="dxa"/>
            <w:shd w:val="clear" w:color="000000" w:fill="C6E0B4"/>
            <w:vAlign w:val="center"/>
          </w:tcPr>
          <w:p w:rsidR="00EA1392" w:rsidRPr="00DA08A4" w:rsidRDefault="00EA1392" w:rsidP="00137D9F">
            <w:pPr>
              <w:spacing w:after="120"/>
              <w:rPr>
                <w:rFonts w:cs="Arial"/>
              </w:rPr>
            </w:pPr>
            <w:r w:rsidRPr="00DA08A4">
              <w:rPr>
                <w:rFonts w:ascii="Calibri" w:hAnsi="Calibri" w:cs="Calibri"/>
                <w:b/>
                <w:bCs/>
                <w:sz w:val="22"/>
                <w:szCs w:val="22"/>
              </w:rPr>
              <w:t xml:space="preserve">35% </w:t>
            </w:r>
            <w:r w:rsidR="00137D9F">
              <w:rPr>
                <w:rFonts w:ascii="Calibri" w:hAnsi="Calibri" w:cs="Calibri"/>
                <w:b/>
                <w:bCs/>
                <w:sz w:val="22"/>
                <w:szCs w:val="22"/>
              </w:rPr>
              <w:t>of rates liability with</w:t>
            </w:r>
            <w:r w:rsidRPr="00DA08A4">
              <w:rPr>
                <w:rFonts w:ascii="Calibri" w:hAnsi="Calibri" w:cs="Calibri"/>
                <w:b/>
                <w:bCs/>
                <w:sz w:val="22"/>
                <w:szCs w:val="22"/>
              </w:rPr>
              <w:t xml:space="preserve"> </w:t>
            </w:r>
            <w:r w:rsidR="00137D9F">
              <w:rPr>
                <w:rFonts w:ascii="Calibri" w:hAnsi="Calibri" w:cs="Calibri"/>
                <w:b/>
                <w:bCs/>
                <w:sz w:val="22"/>
                <w:szCs w:val="22"/>
              </w:rPr>
              <w:t>£100K c</w:t>
            </w:r>
            <w:r w:rsidRPr="00DA08A4">
              <w:rPr>
                <w:rFonts w:ascii="Calibri" w:hAnsi="Calibri" w:cs="Calibri"/>
                <w:b/>
                <w:bCs/>
                <w:sz w:val="22"/>
                <w:szCs w:val="22"/>
              </w:rPr>
              <w:t>ap</w:t>
            </w:r>
          </w:p>
        </w:tc>
        <w:tc>
          <w:tcPr>
            <w:tcW w:w="1805" w:type="dxa"/>
            <w:shd w:val="clear" w:color="000000" w:fill="C6E0B4"/>
            <w:vAlign w:val="center"/>
          </w:tcPr>
          <w:p w:rsidR="00EA1392" w:rsidRPr="00DA08A4" w:rsidRDefault="00EA1392" w:rsidP="00137D9F">
            <w:pPr>
              <w:spacing w:after="120"/>
              <w:rPr>
                <w:rFonts w:cs="Arial"/>
              </w:rPr>
            </w:pPr>
            <w:r w:rsidRPr="00DA08A4">
              <w:rPr>
                <w:rFonts w:ascii="Calibri" w:hAnsi="Calibri" w:cs="Calibri"/>
                <w:b/>
                <w:bCs/>
                <w:sz w:val="22"/>
                <w:szCs w:val="22"/>
              </w:rPr>
              <w:t xml:space="preserve">38% </w:t>
            </w:r>
            <w:r w:rsidR="00137D9F">
              <w:rPr>
                <w:rFonts w:ascii="Calibri" w:hAnsi="Calibri" w:cs="Calibri"/>
                <w:b/>
                <w:bCs/>
                <w:sz w:val="22"/>
                <w:szCs w:val="22"/>
              </w:rPr>
              <w:t>of rates liability with</w:t>
            </w:r>
            <w:r w:rsidRPr="00DA08A4">
              <w:rPr>
                <w:rFonts w:ascii="Calibri" w:hAnsi="Calibri" w:cs="Calibri"/>
                <w:b/>
                <w:bCs/>
                <w:sz w:val="22"/>
                <w:szCs w:val="22"/>
              </w:rPr>
              <w:t xml:space="preserve"> </w:t>
            </w:r>
            <w:r w:rsidR="00137D9F">
              <w:rPr>
                <w:rFonts w:ascii="Calibri" w:hAnsi="Calibri" w:cs="Calibri"/>
                <w:b/>
                <w:bCs/>
                <w:sz w:val="22"/>
                <w:szCs w:val="22"/>
              </w:rPr>
              <w:t>£100K c</w:t>
            </w:r>
            <w:r w:rsidRPr="00DA08A4">
              <w:rPr>
                <w:rFonts w:ascii="Calibri" w:hAnsi="Calibri" w:cs="Calibri"/>
                <w:b/>
                <w:bCs/>
                <w:sz w:val="22"/>
                <w:szCs w:val="22"/>
              </w:rPr>
              <w:t>ap</w:t>
            </w:r>
          </w:p>
        </w:tc>
        <w:tc>
          <w:tcPr>
            <w:tcW w:w="1805" w:type="dxa"/>
            <w:shd w:val="clear" w:color="000000" w:fill="BDD7EE"/>
            <w:vAlign w:val="center"/>
          </w:tcPr>
          <w:p w:rsidR="00EA1392" w:rsidRPr="00DA08A4" w:rsidRDefault="00EA1392" w:rsidP="00137D9F">
            <w:pPr>
              <w:spacing w:after="120"/>
              <w:rPr>
                <w:rFonts w:cs="Arial"/>
              </w:rPr>
            </w:pPr>
            <w:r w:rsidRPr="00DA08A4">
              <w:rPr>
                <w:rFonts w:ascii="Calibri" w:hAnsi="Calibri" w:cs="Calibri"/>
                <w:b/>
                <w:bCs/>
                <w:sz w:val="22"/>
                <w:szCs w:val="22"/>
              </w:rPr>
              <w:t xml:space="preserve">40% </w:t>
            </w:r>
            <w:r w:rsidR="00137D9F">
              <w:rPr>
                <w:rFonts w:ascii="Calibri" w:hAnsi="Calibri" w:cs="Calibri"/>
                <w:b/>
                <w:bCs/>
                <w:sz w:val="22"/>
                <w:szCs w:val="22"/>
              </w:rPr>
              <w:t>of rates liability with</w:t>
            </w:r>
            <w:r w:rsidRPr="00DA08A4">
              <w:rPr>
                <w:rFonts w:ascii="Calibri" w:hAnsi="Calibri" w:cs="Calibri"/>
                <w:b/>
                <w:bCs/>
                <w:sz w:val="22"/>
                <w:szCs w:val="22"/>
              </w:rPr>
              <w:t xml:space="preserve"> </w:t>
            </w:r>
            <w:r w:rsidR="00137D9F">
              <w:rPr>
                <w:rFonts w:ascii="Calibri" w:hAnsi="Calibri" w:cs="Calibri"/>
                <w:b/>
                <w:bCs/>
                <w:sz w:val="22"/>
                <w:szCs w:val="22"/>
              </w:rPr>
              <w:t>£50K c</w:t>
            </w:r>
            <w:r w:rsidRPr="00DA08A4">
              <w:rPr>
                <w:rFonts w:ascii="Calibri" w:hAnsi="Calibri" w:cs="Calibri"/>
                <w:b/>
                <w:bCs/>
                <w:sz w:val="22"/>
                <w:szCs w:val="22"/>
              </w:rPr>
              <w:t>ap</w:t>
            </w:r>
          </w:p>
        </w:tc>
        <w:tc>
          <w:tcPr>
            <w:tcW w:w="1805" w:type="dxa"/>
            <w:shd w:val="clear" w:color="000000" w:fill="BDD7EE"/>
            <w:vAlign w:val="center"/>
          </w:tcPr>
          <w:p w:rsidR="00EA1392" w:rsidRPr="00DA08A4" w:rsidRDefault="00EA1392" w:rsidP="00137D9F">
            <w:pPr>
              <w:spacing w:after="120"/>
              <w:rPr>
                <w:rFonts w:cs="Arial"/>
              </w:rPr>
            </w:pPr>
            <w:r w:rsidRPr="00DA08A4">
              <w:rPr>
                <w:rFonts w:ascii="Calibri" w:hAnsi="Calibri" w:cs="Calibri"/>
                <w:b/>
                <w:bCs/>
                <w:sz w:val="22"/>
                <w:szCs w:val="22"/>
              </w:rPr>
              <w:t xml:space="preserve">43% </w:t>
            </w:r>
            <w:r w:rsidR="00137D9F">
              <w:rPr>
                <w:rFonts w:ascii="Calibri" w:hAnsi="Calibri" w:cs="Calibri"/>
                <w:b/>
                <w:bCs/>
                <w:sz w:val="22"/>
                <w:szCs w:val="22"/>
              </w:rPr>
              <w:t>of rates liability with</w:t>
            </w:r>
            <w:r w:rsidRPr="00DA08A4">
              <w:rPr>
                <w:rFonts w:ascii="Calibri" w:hAnsi="Calibri" w:cs="Calibri"/>
                <w:b/>
                <w:bCs/>
                <w:sz w:val="22"/>
                <w:szCs w:val="22"/>
              </w:rPr>
              <w:t xml:space="preserve"> </w:t>
            </w:r>
            <w:r w:rsidR="00137D9F">
              <w:rPr>
                <w:rFonts w:ascii="Calibri" w:hAnsi="Calibri" w:cs="Calibri"/>
                <w:b/>
                <w:bCs/>
                <w:sz w:val="22"/>
                <w:szCs w:val="22"/>
              </w:rPr>
              <w:t>£50K c</w:t>
            </w:r>
            <w:r w:rsidRPr="00DA08A4">
              <w:rPr>
                <w:rFonts w:ascii="Calibri" w:hAnsi="Calibri" w:cs="Calibri"/>
                <w:b/>
                <w:bCs/>
                <w:sz w:val="22"/>
                <w:szCs w:val="22"/>
              </w:rPr>
              <w:t>ap</w:t>
            </w:r>
          </w:p>
        </w:tc>
      </w:tr>
      <w:tr w:rsidR="00EA1392" w:rsidRPr="00DA08A4" w:rsidTr="00EA1392">
        <w:tc>
          <w:tcPr>
            <w:tcW w:w="1613" w:type="dxa"/>
            <w:shd w:val="clear" w:color="000000" w:fill="C6E0B4"/>
          </w:tcPr>
          <w:p w:rsidR="00EA1392" w:rsidRPr="00DA08A4" w:rsidRDefault="00EA1392" w:rsidP="00DA08A4">
            <w:pPr>
              <w:spacing w:after="120"/>
              <w:rPr>
                <w:rFonts w:ascii="Calibri" w:hAnsi="Calibri" w:cs="Calibri"/>
                <w:b/>
                <w:bCs/>
                <w:sz w:val="22"/>
                <w:szCs w:val="22"/>
              </w:rPr>
            </w:pPr>
            <w:r>
              <w:rPr>
                <w:rFonts w:ascii="Calibri" w:hAnsi="Calibri" w:cs="Calibri"/>
                <w:b/>
                <w:bCs/>
                <w:sz w:val="22"/>
                <w:szCs w:val="22"/>
              </w:rPr>
              <w:t>Total amount of CARF given</w:t>
            </w:r>
          </w:p>
        </w:tc>
        <w:tc>
          <w:tcPr>
            <w:tcW w:w="1804" w:type="dxa"/>
            <w:shd w:val="clear" w:color="000000" w:fill="C6E0B4"/>
            <w:vAlign w:val="bottom"/>
          </w:tcPr>
          <w:p w:rsidR="00EA1392" w:rsidRPr="00DA08A4" w:rsidRDefault="00EA1392" w:rsidP="00DA08A4">
            <w:pPr>
              <w:spacing w:after="120"/>
              <w:rPr>
                <w:rFonts w:cs="Arial"/>
              </w:rPr>
            </w:pPr>
            <w:r w:rsidRPr="00DA08A4">
              <w:rPr>
                <w:rFonts w:ascii="Calibri" w:hAnsi="Calibri" w:cs="Calibri"/>
                <w:b/>
                <w:bCs/>
                <w:sz w:val="22"/>
                <w:szCs w:val="22"/>
              </w:rPr>
              <w:t>£7,822,871.87</w:t>
            </w:r>
          </w:p>
        </w:tc>
        <w:tc>
          <w:tcPr>
            <w:tcW w:w="1805" w:type="dxa"/>
            <w:shd w:val="clear" w:color="000000" w:fill="C6E0B4"/>
            <w:vAlign w:val="bottom"/>
          </w:tcPr>
          <w:p w:rsidR="00EA1392" w:rsidRPr="00DA08A4" w:rsidRDefault="00EA1392" w:rsidP="00DA08A4">
            <w:pPr>
              <w:spacing w:after="120"/>
              <w:rPr>
                <w:rFonts w:cs="Arial"/>
              </w:rPr>
            </w:pPr>
            <w:r w:rsidRPr="00DA08A4">
              <w:rPr>
                <w:rFonts w:ascii="Calibri" w:hAnsi="Calibri" w:cs="Calibri"/>
                <w:b/>
                <w:bCs/>
                <w:sz w:val="22"/>
                <w:szCs w:val="22"/>
              </w:rPr>
              <w:t>£8,381,975.18</w:t>
            </w:r>
          </w:p>
        </w:tc>
        <w:tc>
          <w:tcPr>
            <w:tcW w:w="1805" w:type="dxa"/>
            <w:shd w:val="clear" w:color="000000" w:fill="BDD7EE"/>
            <w:vAlign w:val="bottom"/>
          </w:tcPr>
          <w:p w:rsidR="00EA1392" w:rsidRPr="00DA08A4" w:rsidRDefault="00EA1392" w:rsidP="00DA08A4">
            <w:pPr>
              <w:spacing w:after="120"/>
              <w:rPr>
                <w:rFonts w:cs="Arial"/>
              </w:rPr>
            </w:pPr>
            <w:r w:rsidRPr="00DA08A4">
              <w:rPr>
                <w:rFonts w:ascii="Calibri" w:hAnsi="Calibri" w:cs="Calibri"/>
                <w:b/>
                <w:bCs/>
                <w:sz w:val="22"/>
                <w:szCs w:val="22"/>
              </w:rPr>
              <w:t>£7,821,128.31</w:t>
            </w:r>
          </w:p>
        </w:tc>
        <w:tc>
          <w:tcPr>
            <w:tcW w:w="1805" w:type="dxa"/>
            <w:shd w:val="clear" w:color="000000" w:fill="BDD7EE"/>
            <w:vAlign w:val="bottom"/>
          </w:tcPr>
          <w:p w:rsidR="00EA1392" w:rsidRPr="00DA08A4" w:rsidRDefault="00EA1392" w:rsidP="00DA08A4">
            <w:pPr>
              <w:spacing w:after="120"/>
              <w:rPr>
                <w:rFonts w:cs="Arial"/>
              </w:rPr>
            </w:pPr>
            <w:r w:rsidRPr="00DA08A4">
              <w:rPr>
                <w:rFonts w:ascii="Calibri" w:hAnsi="Calibri" w:cs="Calibri"/>
                <w:b/>
                <w:bCs/>
                <w:sz w:val="22"/>
                <w:szCs w:val="22"/>
              </w:rPr>
              <w:t>£8,286,444.25</w:t>
            </w:r>
          </w:p>
        </w:tc>
      </w:tr>
      <w:tr w:rsidR="00EA1392" w:rsidRPr="00DA08A4" w:rsidTr="00EA1392">
        <w:tc>
          <w:tcPr>
            <w:tcW w:w="1613" w:type="dxa"/>
            <w:shd w:val="clear" w:color="000000" w:fill="C6E0B4"/>
          </w:tcPr>
          <w:p w:rsidR="00EA1392" w:rsidRPr="00DA08A4" w:rsidRDefault="00EA1392" w:rsidP="00DA08A4">
            <w:pPr>
              <w:rPr>
                <w:rFonts w:ascii="Calibri" w:hAnsi="Calibri" w:cs="Calibri"/>
                <w:b/>
                <w:bCs/>
                <w:sz w:val="22"/>
                <w:szCs w:val="22"/>
              </w:rPr>
            </w:pPr>
            <w:r>
              <w:rPr>
                <w:rFonts w:ascii="Calibri" w:hAnsi="Calibri" w:cs="Calibri"/>
                <w:b/>
                <w:bCs/>
                <w:sz w:val="22"/>
                <w:szCs w:val="22"/>
              </w:rPr>
              <w:t xml:space="preserve">Percentage of Councils </w:t>
            </w:r>
            <w:r w:rsidR="001F133D">
              <w:rPr>
                <w:rFonts w:ascii="Calibri" w:hAnsi="Calibri" w:cs="Calibri"/>
                <w:b/>
                <w:bCs/>
                <w:sz w:val="22"/>
                <w:szCs w:val="22"/>
              </w:rPr>
              <w:t xml:space="preserve">funding </w:t>
            </w:r>
            <w:r>
              <w:rPr>
                <w:rFonts w:ascii="Calibri" w:hAnsi="Calibri" w:cs="Calibri"/>
                <w:b/>
                <w:bCs/>
                <w:sz w:val="22"/>
                <w:szCs w:val="22"/>
              </w:rPr>
              <w:t>allocation</w:t>
            </w:r>
          </w:p>
        </w:tc>
        <w:tc>
          <w:tcPr>
            <w:tcW w:w="1804" w:type="dxa"/>
            <w:shd w:val="clear" w:color="000000" w:fill="C6E0B4"/>
            <w:vAlign w:val="bottom"/>
          </w:tcPr>
          <w:p w:rsidR="00EA1392" w:rsidRPr="00DA08A4" w:rsidRDefault="00EA1392" w:rsidP="00DA08A4">
            <w:pPr>
              <w:rPr>
                <w:rFonts w:ascii="Calibri" w:hAnsi="Calibri" w:cs="Calibri"/>
                <w:b/>
                <w:bCs/>
                <w:sz w:val="22"/>
                <w:szCs w:val="22"/>
              </w:rPr>
            </w:pPr>
            <w:r w:rsidRPr="00DA08A4">
              <w:rPr>
                <w:rFonts w:ascii="Calibri" w:hAnsi="Calibri" w:cs="Calibri"/>
                <w:b/>
                <w:bCs/>
                <w:sz w:val="22"/>
                <w:szCs w:val="22"/>
              </w:rPr>
              <w:t>88.40%</w:t>
            </w:r>
          </w:p>
        </w:tc>
        <w:tc>
          <w:tcPr>
            <w:tcW w:w="1805" w:type="dxa"/>
            <w:shd w:val="clear" w:color="000000" w:fill="C6E0B4"/>
            <w:vAlign w:val="bottom"/>
          </w:tcPr>
          <w:p w:rsidR="00EA1392" w:rsidRPr="00DA08A4" w:rsidRDefault="00EA1392" w:rsidP="00DA08A4">
            <w:pPr>
              <w:rPr>
                <w:rFonts w:ascii="Calibri" w:hAnsi="Calibri" w:cs="Calibri"/>
                <w:b/>
                <w:bCs/>
                <w:sz w:val="22"/>
                <w:szCs w:val="22"/>
              </w:rPr>
            </w:pPr>
            <w:r w:rsidRPr="00DA08A4">
              <w:rPr>
                <w:rFonts w:ascii="Calibri" w:hAnsi="Calibri" w:cs="Calibri"/>
                <w:b/>
                <w:bCs/>
                <w:sz w:val="22"/>
                <w:szCs w:val="22"/>
              </w:rPr>
              <w:t>94.72%</w:t>
            </w:r>
          </w:p>
        </w:tc>
        <w:tc>
          <w:tcPr>
            <w:tcW w:w="1805" w:type="dxa"/>
            <w:shd w:val="clear" w:color="000000" w:fill="BDD7EE"/>
            <w:vAlign w:val="bottom"/>
          </w:tcPr>
          <w:p w:rsidR="00EA1392" w:rsidRPr="00DA08A4" w:rsidRDefault="00EA1392" w:rsidP="00DA08A4">
            <w:pPr>
              <w:rPr>
                <w:rFonts w:ascii="Calibri" w:hAnsi="Calibri" w:cs="Calibri"/>
                <w:b/>
                <w:bCs/>
                <w:sz w:val="22"/>
                <w:szCs w:val="22"/>
              </w:rPr>
            </w:pPr>
            <w:r w:rsidRPr="00DA08A4">
              <w:rPr>
                <w:rFonts w:ascii="Calibri" w:hAnsi="Calibri" w:cs="Calibri"/>
                <w:b/>
                <w:bCs/>
                <w:sz w:val="22"/>
                <w:szCs w:val="22"/>
              </w:rPr>
              <w:t>88.39%</w:t>
            </w:r>
          </w:p>
        </w:tc>
        <w:tc>
          <w:tcPr>
            <w:tcW w:w="1805" w:type="dxa"/>
            <w:shd w:val="clear" w:color="000000" w:fill="BDD7EE"/>
            <w:vAlign w:val="bottom"/>
          </w:tcPr>
          <w:p w:rsidR="00EA1392" w:rsidRPr="00DA08A4" w:rsidRDefault="00EA1392" w:rsidP="00DA08A4">
            <w:pPr>
              <w:rPr>
                <w:rFonts w:ascii="Calibri" w:hAnsi="Calibri" w:cs="Calibri"/>
                <w:b/>
                <w:bCs/>
                <w:sz w:val="22"/>
                <w:szCs w:val="22"/>
              </w:rPr>
            </w:pPr>
            <w:r w:rsidRPr="00DA08A4">
              <w:rPr>
                <w:rFonts w:ascii="Calibri" w:hAnsi="Calibri" w:cs="Calibri"/>
                <w:b/>
                <w:bCs/>
                <w:sz w:val="22"/>
                <w:szCs w:val="22"/>
              </w:rPr>
              <w:t>93.64%</w:t>
            </w:r>
          </w:p>
        </w:tc>
      </w:tr>
    </w:tbl>
    <w:p w:rsidR="00DA08A4" w:rsidRPr="00DA08A4" w:rsidRDefault="00DA08A4" w:rsidP="00FF0AE3">
      <w:pPr>
        <w:spacing w:after="120"/>
        <w:ind w:left="426"/>
        <w:rPr>
          <w:rFonts w:cs="Arial"/>
        </w:rPr>
      </w:pPr>
    </w:p>
    <w:p w:rsidR="005F558C" w:rsidRDefault="00137D9F" w:rsidP="00A05C0B">
      <w:pPr>
        <w:spacing w:after="120"/>
        <w:ind w:left="434" w:firstLine="14"/>
        <w:rPr>
          <w:rFonts w:cs="Arial"/>
        </w:rPr>
      </w:pPr>
      <w:r>
        <w:rPr>
          <w:rFonts w:cs="Arial"/>
        </w:rPr>
        <w:t>Each model assumes 100% take up of those business that are eligible but i</w:t>
      </w:r>
      <w:r w:rsidR="00EC1D84">
        <w:rPr>
          <w:rFonts w:cs="Arial"/>
        </w:rPr>
        <w:t xml:space="preserve">n each model a </w:t>
      </w:r>
      <w:r w:rsidR="00AD70EE">
        <w:rPr>
          <w:rFonts w:cs="Arial"/>
        </w:rPr>
        <w:t>balance of the C</w:t>
      </w:r>
      <w:r w:rsidR="00EC1D84">
        <w:rPr>
          <w:rFonts w:cs="Arial"/>
        </w:rPr>
        <w:t>ouncil</w:t>
      </w:r>
      <w:r w:rsidR="00AD70EE">
        <w:rPr>
          <w:rFonts w:cs="Arial"/>
        </w:rPr>
        <w:t>’</w:t>
      </w:r>
      <w:r w:rsidR="00EC1D84">
        <w:rPr>
          <w:rFonts w:cs="Arial"/>
        </w:rPr>
        <w:t>s allocation remains</w:t>
      </w:r>
      <w:r>
        <w:rPr>
          <w:rFonts w:cs="Arial"/>
        </w:rPr>
        <w:t>,</w:t>
      </w:r>
      <w:r w:rsidR="00EC1D84">
        <w:rPr>
          <w:rFonts w:cs="Arial"/>
        </w:rPr>
        <w:t xml:space="preserve"> to pay to businesses that may be missing from the model. A decision will be taken after the initial take up </w:t>
      </w:r>
      <w:r w:rsidR="001F133D">
        <w:rPr>
          <w:rFonts w:cs="Arial"/>
        </w:rPr>
        <w:t>to agree</w:t>
      </w:r>
      <w:r w:rsidR="00EC1D84">
        <w:rPr>
          <w:rFonts w:cs="Arial"/>
        </w:rPr>
        <w:t xml:space="preserve"> the percentage</w:t>
      </w:r>
      <w:r w:rsidR="001F133D">
        <w:rPr>
          <w:rFonts w:cs="Arial"/>
        </w:rPr>
        <w:t xml:space="preserve"> award</w:t>
      </w:r>
      <w:r w:rsidR="00EC1D84">
        <w:rPr>
          <w:rFonts w:cs="Arial"/>
        </w:rPr>
        <w:t xml:space="preserve"> to ensure that all the </w:t>
      </w:r>
      <w:r w:rsidR="001F133D">
        <w:rPr>
          <w:rFonts w:cs="Arial"/>
        </w:rPr>
        <w:t>C</w:t>
      </w:r>
      <w:r w:rsidR="00EC1D84">
        <w:rPr>
          <w:rFonts w:cs="Arial"/>
        </w:rPr>
        <w:t>ouncils allocation of £8.8 million is paid out</w:t>
      </w:r>
      <w:r w:rsidR="001F133D">
        <w:rPr>
          <w:rFonts w:cs="Arial"/>
        </w:rPr>
        <w:t xml:space="preserve"> in full</w:t>
      </w:r>
      <w:r w:rsidR="00EC1D84">
        <w:rPr>
          <w:rFonts w:cs="Arial"/>
        </w:rPr>
        <w:t xml:space="preserve">. </w:t>
      </w:r>
      <w:r w:rsidR="00002911" w:rsidRPr="00A0376E">
        <w:rPr>
          <w:rFonts w:cs="Arial"/>
        </w:rPr>
        <w:t xml:space="preserve">At this stage it is likely that Model 2 will be applied </w:t>
      </w:r>
      <w:r w:rsidR="00A0376E">
        <w:rPr>
          <w:rFonts w:cs="Arial"/>
        </w:rPr>
        <w:t xml:space="preserve">but there may be </w:t>
      </w:r>
      <w:r w:rsidR="00002911" w:rsidRPr="00A0376E">
        <w:rPr>
          <w:rFonts w:cs="Arial"/>
        </w:rPr>
        <w:t xml:space="preserve">a small uplift on the %age of business rates liability </w:t>
      </w:r>
      <w:r w:rsidR="00E7121B">
        <w:rPr>
          <w:rFonts w:cs="Arial"/>
        </w:rPr>
        <w:t>that is eligible, once</w:t>
      </w:r>
      <w:r w:rsidR="00A05C0B">
        <w:rPr>
          <w:rFonts w:cs="Arial"/>
        </w:rPr>
        <w:t xml:space="preserve"> all applications have been rec</w:t>
      </w:r>
      <w:r w:rsidR="00E7121B">
        <w:rPr>
          <w:rFonts w:cs="Arial"/>
        </w:rPr>
        <w:t>e</w:t>
      </w:r>
      <w:r w:rsidR="00A05C0B">
        <w:rPr>
          <w:rFonts w:cs="Arial"/>
        </w:rPr>
        <w:t>i</w:t>
      </w:r>
      <w:r w:rsidR="00E7121B">
        <w:rPr>
          <w:rFonts w:cs="Arial"/>
        </w:rPr>
        <w:t>ved.</w:t>
      </w:r>
    </w:p>
    <w:p w:rsidR="00237101" w:rsidRPr="003D588B" w:rsidRDefault="00FA4E38" w:rsidP="00A05C0B">
      <w:pPr>
        <w:pStyle w:val="ListParagraph"/>
        <w:numPr>
          <w:ilvl w:val="0"/>
          <w:numId w:val="6"/>
        </w:numPr>
        <w:spacing w:after="120"/>
        <w:ind w:left="426" w:hanging="426"/>
        <w:rPr>
          <w:rFonts w:cs="Arial"/>
        </w:rPr>
      </w:pPr>
      <w:r w:rsidRPr="003D588B">
        <w:rPr>
          <w:rFonts w:cs="Arial"/>
          <w:color w:val="auto"/>
        </w:rPr>
        <w:t xml:space="preserve">The Council will </w:t>
      </w:r>
      <w:r w:rsidR="00237101" w:rsidRPr="003D588B">
        <w:rPr>
          <w:rFonts w:cs="Arial"/>
          <w:color w:val="auto"/>
        </w:rPr>
        <w:t>expect an application form to be completed</w:t>
      </w:r>
      <w:r w:rsidR="00EC1D84">
        <w:rPr>
          <w:rFonts w:cs="Arial"/>
          <w:color w:val="auto"/>
        </w:rPr>
        <w:t xml:space="preserve"> to verify that the Business has suffered a loss</w:t>
      </w:r>
      <w:r w:rsidR="001F133D">
        <w:rPr>
          <w:rFonts w:cs="Arial"/>
          <w:color w:val="auto"/>
        </w:rPr>
        <w:t xml:space="preserve"> and been unable to adapt</w:t>
      </w:r>
      <w:r w:rsidR="00237101" w:rsidRPr="003D588B">
        <w:rPr>
          <w:rFonts w:cs="Arial"/>
          <w:color w:val="auto"/>
        </w:rPr>
        <w:t>,</w:t>
      </w:r>
      <w:r w:rsidRPr="003D588B">
        <w:rPr>
          <w:rFonts w:cs="Arial"/>
          <w:color w:val="auto"/>
        </w:rPr>
        <w:t xml:space="preserve"> and</w:t>
      </w:r>
      <w:r w:rsidR="00237101" w:rsidRPr="003D588B">
        <w:rPr>
          <w:rFonts w:cs="Arial"/>
          <w:color w:val="auto"/>
        </w:rPr>
        <w:t xml:space="preserve"> will advise ratepayers of the award of the relief by issuing a revised demand notice showing the amount of the award, with details of opting out and subsidy requirements</w:t>
      </w:r>
      <w:r w:rsidRPr="003D588B">
        <w:rPr>
          <w:rFonts w:cs="Arial"/>
          <w:color w:val="auto"/>
        </w:rPr>
        <w:t xml:space="preserve">. If payment has already been paid in full, the credit will be </w:t>
      </w:r>
      <w:r w:rsidR="00207984" w:rsidRPr="003D588B">
        <w:rPr>
          <w:rFonts w:cs="Arial"/>
          <w:color w:val="auto"/>
        </w:rPr>
        <w:t>transferred</w:t>
      </w:r>
      <w:r w:rsidRPr="003D588B">
        <w:rPr>
          <w:rFonts w:cs="Arial"/>
          <w:color w:val="auto"/>
        </w:rPr>
        <w:t xml:space="preserve"> into 2022/23, and a revised bill issued. If a ratepayer requests a refund, this will be complied with.</w:t>
      </w:r>
    </w:p>
    <w:p w:rsidR="00FA4E38" w:rsidRPr="00A05C0B" w:rsidRDefault="00237101" w:rsidP="006375DA">
      <w:pPr>
        <w:pStyle w:val="NormalWeb"/>
        <w:rPr>
          <w:rFonts w:ascii="Arial" w:hAnsi="Arial" w:cs="Arial"/>
          <w:b/>
          <w:color w:val="auto"/>
        </w:rPr>
      </w:pPr>
      <w:r w:rsidRPr="00BD5CE9">
        <w:rPr>
          <w:rFonts w:ascii="Arial" w:hAnsi="Arial" w:cs="Arial"/>
          <w:b/>
          <w:color w:val="auto"/>
          <w:sz w:val="28"/>
          <w:szCs w:val="28"/>
        </w:rPr>
        <w:t> </w:t>
      </w:r>
      <w:r w:rsidRPr="00A05C0B">
        <w:rPr>
          <w:rFonts w:ascii="Arial" w:hAnsi="Arial" w:cs="Arial"/>
          <w:b/>
          <w:color w:val="auto"/>
          <w:u w:val="single"/>
        </w:rPr>
        <w:t>Exclusions</w:t>
      </w:r>
    </w:p>
    <w:p w:rsidR="00237101" w:rsidRPr="00207984" w:rsidRDefault="00237101" w:rsidP="00A05C0B">
      <w:pPr>
        <w:pStyle w:val="NormalWeb"/>
        <w:numPr>
          <w:ilvl w:val="0"/>
          <w:numId w:val="6"/>
        </w:numPr>
        <w:ind w:left="420" w:hanging="420"/>
        <w:rPr>
          <w:rFonts w:ascii="Arial" w:hAnsi="Arial" w:cs="Arial"/>
          <w:color w:val="auto"/>
        </w:rPr>
      </w:pPr>
      <w:r w:rsidRPr="00207984">
        <w:rPr>
          <w:rFonts w:ascii="Arial" w:hAnsi="Arial" w:cs="Arial"/>
          <w:color w:val="auto"/>
        </w:rPr>
        <w:lastRenderedPageBreak/>
        <w:t xml:space="preserve">To support local businesses hardest hit, and to achieve the intentions laid down by Government, </w:t>
      </w:r>
      <w:r w:rsidR="0021020C" w:rsidRPr="00207984">
        <w:rPr>
          <w:rFonts w:ascii="Arial" w:hAnsi="Arial" w:cs="Arial"/>
          <w:color w:val="auto"/>
        </w:rPr>
        <w:t>the Council will</w:t>
      </w:r>
      <w:r w:rsidRPr="00207984">
        <w:rPr>
          <w:rFonts w:ascii="Arial" w:hAnsi="Arial" w:cs="Arial"/>
          <w:color w:val="auto"/>
        </w:rPr>
        <w:t xml:space="preserve"> exclude the following businesses / hereditaments:</w:t>
      </w:r>
    </w:p>
    <w:p w:rsidR="003726B8" w:rsidRPr="00207984" w:rsidRDefault="00237101" w:rsidP="00A05C0B">
      <w:pPr>
        <w:pStyle w:val="NormalWeb"/>
        <w:numPr>
          <w:ilvl w:val="0"/>
          <w:numId w:val="9"/>
        </w:numPr>
        <w:ind w:left="993" w:hanging="363"/>
        <w:rPr>
          <w:rFonts w:ascii="Arial" w:hAnsi="Arial" w:cs="Arial"/>
          <w:color w:val="auto"/>
        </w:rPr>
      </w:pPr>
      <w:r w:rsidRPr="00207984">
        <w:rPr>
          <w:rFonts w:ascii="Arial" w:hAnsi="Arial" w:cs="Arial"/>
          <w:color w:val="auto"/>
        </w:rPr>
        <w:t>Unoccupied hereditaments</w:t>
      </w:r>
    </w:p>
    <w:p w:rsidR="0044110E" w:rsidRPr="0044110E" w:rsidRDefault="0044110E" w:rsidP="00A05C0B">
      <w:pPr>
        <w:pStyle w:val="ListParagraph"/>
        <w:numPr>
          <w:ilvl w:val="0"/>
          <w:numId w:val="9"/>
        </w:numPr>
        <w:ind w:left="993" w:hanging="363"/>
        <w:rPr>
          <w:rFonts w:cs="Arial"/>
          <w:color w:val="auto"/>
          <w:sz w:val="22"/>
          <w:szCs w:val="22"/>
        </w:rPr>
      </w:pPr>
      <w:r w:rsidRPr="0044110E">
        <w:rPr>
          <w:rFonts w:cs="Arial"/>
          <w:color w:val="auto"/>
        </w:rPr>
        <w:t>Hereditaments which do not need constant attendance by operatives, crew or staff to function (such as parking spaces, advertising boards, communication masts, ATMs, telecommunication network or energy infrastructure, solar panels, and small storage units such as lockers, storeroom, garages, lock-ups and land used for storage).</w:t>
      </w:r>
    </w:p>
    <w:p w:rsidR="003726B8" w:rsidRPr="00207984" w:rsidRDefault="00237101" w:rsidP="00A05C0B">
      <w:pPr>
        <w:pStyle w:val="NormalWeb"/>
        <w:numPr>
          <w:ilvl w:val="0"/>
          <w:numId w:val="9"/>
        </w:numPr>
        <w:ind w:left="993" w:hanging="363"/>
        <w:rPr>
          <w:rFonts w:ascii="Arial" w:hAnsi="Arial" w:cs="Arial"/>
          <w:color w:val="auto"/>
        </w:rPr>
      </w:pPr>
      <w:r w:rsidRPr="00207984">
        <w:rPr>
          <w:rFonts w:ascii="Arial" w:hAnsi="Arial" w:cs="Arial"/>
          <w:color w:val="auto"/>
        </w:rPr>
        <w:t>Public bodies including:</w:t>
      </w:r>
    </w:p>
    <w:p w:rsidR="00C133DF" w:rsidRPr="00207984" w:rsidRDefault="00237101" w:rsidP="00A05C0B">
      <w:pPr>
        <w:pStyle w:val="NormalWeb"/>
        <w:numPr>
          <w:ilvl w:val="0"/>
          <w:numId w:val="10"/>
        </w:numPr>
        <w:ind w:left="993" w:firstLine="253"/>
        <w:rPr>
          <w:rFonts w:ascii="Arial" w:hAnsi="Arial" w:cs="Arial"/>
          <w:color w:val="auto"/>
        </w:rPr>
      </w:pPr>
      <w:r w:rsidRPr="00207984">
        <w:rPr>
          <w:rFonts w:ascii="Arial" w:hAnsi="Arial" w:cs="Arial"/>
          <w:color w:val="auto"/>
        </w:rPr>
        <w:t>Government departments, legislative bo</w:t>
      </w:r>
      <w:r w:rsidR="003726B8" w:rsidRPr="00207984">
        <w:rPr>
          <w:rFonts w:ascii="Arial" w:hAnsi="Arial" w:cs="Arial"/>
          <w:color w:val="auto"/>
        </w:rPr>
        <w:t>dies, and the armed forces</w:t>
      </w:r>
    </w:p>
    <w:p w:rsidR="00C133DF" w:rsidRPr="00207984" w:rsidRDefault="00237101" w:rsidP="00A05C0B">
      <w:pPr>
        <w:pStyle w:val="NormalWeb"/>
        <w:numPr>
          <w:ilvl w:val="0"/>
          <w:numId w:val="10"/>
        </w:numPr>
        <w:ind w:left="993" w:firstLine="253"/>
        <w:rPr>
          <w:rFonts w:ascii="Arial" w:hAnsi="Arial" w:cs="Arial"/>
          <w:color w:val="auto"/>
        </w:rPr>
      </w:pPr>
      <w:r w:rsidRPr="00207984">
        <w:rPr>
          <w:rFonts w:ascii="Arial" w:hAnsi="Arial" w:cs="Arial"/>
          <w:color w:val="auto"/>
        </w:rPr>
        <w:t>Local government in</w:t>
      </w:r>
      <w:r w:rsidR="003726B8" w:rsidRPr="00207984">
        <w:rPr>
          <w:rFonts w:ascii="Arial" w:hAnsi="Arial" w:cs="Arial"/>
          <w:color w:val="auto"/>
        </w:rPr>
        <w:t>cluding parish and town council</w:t>
      </w:r>
    </w:p>
    <w:p w:rsidR="003726B8" w:rsidRPr="00207984" w:rsidRDefault="003726B8" w:rsidP="00A05C0B">
      <w:pPr>
        <w:pStyle w:val="NormalWeb"/>
        <w:numPr>
          <w:ilvl w:val="0"/>
          <w:numId w:val="10"/>
        </w:numPr>
        <w:ind w:left="993" w:firstLine="253"/>
        <w:rPr>
          <w:rFonts w:ascii="Arial" w:hAnsi="Arial" w:cs="Arial"/>
          <w:color w:val="auto"/>
        </w:rPr>
      </w:pPr>
      <w:r w:rsidRPr="00207984">
        <w:rPr>
          <w:rFonts w:ascii="Arial" w:hAnsi="Arial" w:cs="Arial"/>
          <w:color w:val="auto"/>
        </w:rPr>
        <w:t>L</w:t>
      </w:r>
      <w:r w:rsidR="00237101" w:rsidRPr="00207984">
        <w:rPr>
          <w:rFonts w:ascii="Arial" w:hAnsi="Arial" w:cs="Arial"/>
          <w:color w:val="auto"/>
        </w:rPr>
        <w:t>ocal authority owned companies</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NHS including NHS and Foundation Trusts, practitioner</w:t>
      </w:r>
      <w:r w:rsidR="00C133DF" w:rsidRPr="00207984">
        <w:rPr>
          <w:rFonts w:ascii="Arial" w:hAnsi="Arial" w:cs="Arial"/>
          <w:color w:val="auto"/>
        </w:rPr>
        <w:t>s</w:t>
      </w:r>
      <w:r w:rsidRPr="00207984">
        <w:rPr>
          <w:rFonts w:ascii="Arial" w:hAnsi="Arial" w:cs="Arial"/>
          <w:color w:val="auto"/>
        </w:rPr>
        <w:t xml:space="preserve"> who provide services under contract to the NHS</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Maintained schools, Academy Schools and Further / Higher Education Institutions</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Fire</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Police</w:t>
      </w:r>
    </w:p>
    <w:p w:rsidR="007D6A48" w:rsidRPr="00207984" w:rsidRDefault="007D6A48" w:rsidP="00A05C0B">
      <w:pPr>
        <w:pStyle w:val="NormalWeb"/>
        <w:numPr>
          <w:ilvl w:val="0"/>
          <w:numId w:val="11"/>
        </w:numPr>
        <w:ind w:left="993" w:hanging="363"/>
        <w:rPr>
          <w:rFonts w:ascii="Arial" w:hAnsi="Arial" w:cs="Arial"/>
          <w:color w:val="auto"/>
        </w:rPr>
      </w:pPr>
      <w:r w:rsidRPr="00207984">
        <w:rPr>
          <w:rFonts w:ascii="Arial" w:hAnsi="Arial" w:cs="Arial"/>
          <w:color w:val="auto"/>
        </w:rPr>
        <w:t>Government and Justice</w:t>
      </w:r>
    </w:p>
    <w:p w:rsidR="00F12ACF" w:rsidRPr="00207984" w:rsidRDefault="00F12ACF" w:rsidP="00A05C0B">
      <w:pPr>
        <w:pStyle w:val="NormalWeb"/>
        <w:numPr>
          <w:ilvl w:val="0"/>
          <w:numId w:val="11"/>
        </w:numPr>
        <w:ind w:left="993" w:hanging="363"/>
        <w:rPr>
          <w:rFonts w:ascii="Arial" w:hAnsi="Arial" w:cs="Arial"/>
          <w:color w:val="auto"/>
        </w:rPr>
      </w:pPr>
      <w:r w:rsidRPr="00207984">
        <w:rPr>
          <w:rFonts w:ascii="Arial" w:hAnsi="Arial" w:cs="Arial"/>
          <w:color w:val="auto"/>
        </w:rPr>
        <w:t>Banks and Financial Institutions</w:t>
      </w:r>
    </w:p>
    <w:p w:rsidR="00F12ACF" w:rsidRPr="00207984" w:rsidRDefault="00F12ACF" w:rsidP="00A05C0B">
      <w:pPr>
        <w:pStyle w:val="NormalWeb"/>
        <w:numPr>
          <w:ilvl w:val="0"/>
          <w:numId w:val="11"/>
        </w:numPr>
        <w:ind w:left="993" w:hanging="363"/>
        <w:rPr>
          <w:rFonts w:ascii="Arial" w:hAnsi="Arial" w:cs="Arial"/>
          <w:color w:val="auto"/>
        </w:rPr>
      </w:pPr>
      <w:r w:rsidRPr="00207984">
        <w:rPr>
          <w:rFonts w:ascii="Arial" w:hAnsi="Arial" w:cs="Arial"/>
          <w:color w:val="auto"/>
        </w:rPr>
        <w:t>Betting and Gambling</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Businesses in administration, liquidation or subject to a strike off notice on companies house wi</w:t>
      </w:r>
      <w:r w:rsidR="00C133DF" w:rsidRPr="00207984">
        <w:rPr>
          <w:rFonts w:ascii="Arial" w:hAnsi="Arial" w:cs="Arial"/>
          <w:color w:val="auto"/>
        </w:rPr>
        <w:t>ll not benefit from this relief</w:t>
      </w:r>
    </w:p>
    <w:p w:rsidR="004F5C6B"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Businesses who entered into a CVA or IVA during the course of 2020/21 will likewise be ineligible for relief</w:t>
      </w:r>
    </w:p>
    <w:p w:rsidR="00C133DF" w:rsidRPr="00207984" w:rsidRDefault="00237101" w:rsidP="00A05C0B">
      <w:pPr>
        <w:pStyle w:val="NormalWeb"/>
        <w:numPr>
          <w:ilvl w:val="0"/>
          <w:numId w:val="11"/>
        </w:numPr>
        <w:ind w:left="993" w:hanging="363"/>
        <w:rPr>
          <w:rFonts w:ascii="Arial" w:hAnsi="Arial" w:cs="Arial"/>
          <w:color w:val="auto"/>
        </w:rPr>
      </w:pPr>
      <w:r w:rsidRPr="00207984">
        <w:rPr>
          <w:rFonts w:ascii="Arial" w:hAnsi="Arial" w:cs="Arial"/>
          <w:color w:val="auto"/>
        </w:rPr>
        <w:t>Businesses who have not been significantly impac</w:t>
      </w:r>
      <w:r w:rsidR="00C133DF" w:rsidRPr="00207984">
        <w:rPr>
          <w:rFonts w:ascii="Arial" w:hAnsi="Arial" w:cs="Arial"/>
          <w:color w:val="auto"/>
        </w:rPr>
        <w:t>ted by the coronavirus pandemic</w:t>
      </w:r>
    </w:p>
    <w:p w:rsidR="0021020C" w:rsidRPr="00207984" w:rsidRDefault="00B25636" w:rsidP="00A05C0B">
      <w:pPr>
        <w:pStyle w:val="NormalWeb"/>
        <w:numPr>
          <w:ilvl w:val="0"/>
          <w:numId w:val="11"/>
        </w:numPr>
        <w:ind w:left="993" w:hanging="363"/>
        <w:rPr>
          <w:rFonts w:ascii="Arial" w:hAnsi="Arial" w:cs="Arial"/>
          <w:color w:val="auto"/>
        </w:rPr>
      </w:pPr>
      <w:r>
        <w:rPr>
          <w:rFonts w:ascii="Arial" w:hAnsi="Arial" w:cs="Arial"/>
          <w:color w:val="auto"/>
        </w:rPr>
        <w:t>Those in receipt of 100%</w:t>
      </w:r>
      <w:r w:rsidR="0021020C" w:rsidRPr="00207984">
        <w:rPr>
          <w:rFonts w:ascii="Arial" w:hAnsi="Arial" w:cs="Arial"/>
          <w:color w:val="auto"/>
        </w:rPr>
        <w:t xml:space="preserve"> S</w:t>
      </w:r>
      <w:r w:rsidR="004F5C6B" w:rsidRPr="00207984">
        <w:rPr>
          <w:rFonts w:ascii="Arial" w:hAnsi="Arial" w:cs="Arial"/>
          <w:color w:val="auto"/>
        </w:rPr>
        <w:t xml:space="preserve">mall </w:t>
      </w:r>
      <w:r w:rsidR="0021020C" w:rsidRPr="00207984">
        <w:rPr>
          <w:rFonts w:ascii="Arial" w:hAnsi="Arial" w:cs="Arial"/>
          <w:color w:val="auto"/>
        </w:rPr>
        <w:t>B</w:t>
      </w:r>
      <w:r w:rsidR="004F5C6B" w:rsidRPr="00207984">
        <w:rPr>
          <w:rFonts w:ascii="Arial" w:hAnsi="Arial" w:cs="Arial"/>
          <w:color w:val="auto"/>
        </w:rPr>
        <w:t xml:space="preserve">usiness </w:t>
      </w:r>
      <w:r w:rsidR="0021020C" w:rsidRPr="00207984">
        <w:rPr>
          <w:rFonts w:ascii="Arial" w:hAnsi="Arial" w:cs="Arial"/>
          <w:color w:val="auto"/>
        </w:rPr>
        <w:t>R</w:t>
      </w:r>
      <w:r w:rsidR="004F5C6B" w:rsidRPr="00207984">
        <w:rPr>
          <w:rFonts w:ascii="Arial" w:hAnsi="Arial" w:cs="Arial"/>
          <w:color w:val="auto"/>
        </w:rPr>
        <w:t xml:space="preserve">ates </w:t>
      </w:r>
      <w:r w:rsidR="0021020C" w:rsidRPr="00207984">
        <w:rPr>
          <w:rFonts w:ascii="Arial" w:hAnsi="Arial" w:cs="Arial"/>
          <w:color w:val="auto"/>
        </w:rPr>
        <w:t>R</w:t>
      </w:r>
      <w:r w:rsidR="004F5C6B" w:rsidRPr="00207984">
        <w:rPr>
          <w:rFonts w:ascii="Arial" w:hAnsi="Arial" w:cs="Arial"/>
          <w:color w:val="auto"/>
        </w:rPr>
        <w:t>elief</w:t>
      </w:r>
    </w:p>
    <w:p w:rsidR="00C133DF" w:rsidRPr="00207984" w:rsidRDefault="00FC5622" w:rsidP="00A05C0B">
      <w:pPr>
        <w:pStyle w:val="NormalWeb"/>
        <w:numPr>
          <w:ilvl w:val="0"/>
          <w:numId w:val="11"/>
        </w:numPr>
        <w:ind w:left="993" w:hanging="363"/>
        <w:rPr>
          <w:rFonts w:ascii="Arial" w:hAnsi="Arial" w:cs="Arial"/>
          <w:b/>
          <w:color w:val="auto"/>
        </w:rPr>
      </w:pPr>
      <w:r w:rsidRPr="00207984">
        <w:rPr>
          <w:rFonts w:ascii="Arial" w:hAnsi="Arial" w:cs="Arial"/>
          <w:color w:val="auto"/>
        </w:rPr>
        <w:t>Where a business would have been eligible for retail relief in 2021/22 for the premises concerned but has not received it either due to exceeding capping</w:t>
      </w:r>
      <w:r w:rsidR="009B6363" w:rsidRPr="00207984">
        <w:rPr>
          <w:rFonts w:ascii="Arial" w:hAnsi="Arial" w:cs="Arial"/>
          <w:color w:val="auto"/>
        </w:rPr>
        <w:t>/subsidy</w:t>
      </w:r>
      <w:r w:rsidRPr="00207984">
        <w:rPr>
          <w:rFonts w:ascii="Arial" w:hAnsi="Arial" w:cs="Arial"/>
          <w:color w:val="auto"/>
        </w:rPr>
        <w:t xml:space="preserve"> levels nationally or opted out of the retail relief scheme they will not be eligible for relief under our Discretionary CARF scheme</w:t>
      </w:r>
    </w:p>
    <w:p w:rsidR="00C133DF" w:rsidRPr="00207984" w:rsidRDefault="00D43AFD" w:rsidP="00A05C0B">
      <w:pPr>
        <w:pStyle w:val="NormalWeb"/>
        <w:numPr>
          <w:ilvl w:val="0"/>
          <w:numId w:val="11"/>
        </w:numPr>
        <w:ind w:left="993" w:hanging="363"/>
        <w:rPr>
          <w:rFonts w:ascii="Arial" w:hAnsi="Arial" w:cs="Arial"/>
          <w:b/>
          <w:color w:val="auto"/>
        </w:rPr>
      </w:pPr>
      <w:r>
        <w:rPr>
          <w:rFonts w:ascii="Arial" w:hAnsi="Arial" w:cs="Arial"/>
          <w:color w:val="auto"/>
        </w:rPr>
        <w:t>The Council</w:t>
      </w:r>
      <w:r w:rsidR="00FC5622" w:rsidRPr="00207984">
        <w:rPr>
          <w:rFonts w:ascii="Arial" w:hAnsi="Arial" w:cs="Arial"/>
          <w:color w:val="auto"/>
        </w:rPr>
        <w:t xml:space="preserve"> will not award relief on any property where </w:t>
      </w:r>
      <w:r>
        <w:rPr>
          <w:rFonts w:ascii="Arial" w:hAnsi="Arial" w:cs="Arial"/>
          <w:color w:val="auto"/>
        </w:rPr>
        <w:t>it is</w:t>
      </w:r>
      <w:r w:rsidR="00FC5622" w:rsidRPr="00207984">
        <w:rPr>
          <w:rFonts w:ascii="Arial" w:hAnsi="Arial" w:cs="Arial"/>
          <w:color w:val="auto"/>
        </w:rPr>
        <w:t xml:space="preserve"> advised on or after 15 December 2021 that a premises was re-occupied</w:t>
      </w:r>
      <w:r w:rsidR="00C96E4B" w:rsidRPr="00207984">
        <w:rPr>
          <w:rFonts w:ascii="Arial" w:hAnsi="Arial" w:cs="Arial"/>
          <w:color w:val="auto"/>
        </w:rPr>
        <w:t xml:space="preserve"> prior to the 1</w:t>
      </w:r>
      <w:r w:rsidR="00C96E4B" w:rsidRPr="00207984">
        <w:rPr>
          <w:rFonts w:ascii="Arial" w:hAnsi="Arial" w:cs="Arial"/>
          <w:color w:val="auto"/>
          <w:vertAlign w:val="superscript"/>
        </w:rPr>
        <w:t>st</w:t>
      </w:r>
      <w:r w:rsidR="00C96E4B" w:rsidRPr="00207984">
        <w:rPr>
          <w:rFonts w:ascii="Arial" w:hAnsi="Arial" w:cs="Arial"/>
          <w:color w:val="auto"/>
        </w:rPr>
        <w:t xml:space="preserve"> April 2021.</w:t>
      </w:r>
      <w:r w:rsidR="00FC5622" w:rsidRPr="00207984">
        <w:rPr>
          <w:rFonts w:ascii="Arial" w:hAnsi="Arial" w:cs="Arial"/>
          <w:color w:val="auto"/>
        </w:rPr>
        <w:t xml:space="preserve"> This is to prevent businesses who previously advised the property was empty (in order to benefit from periods of 100% empty relief) from subsequently claiming to be occupied to benefit from t</w:t>
      </w:r>
      <w:r>
        <w:rPr>
          <w:rFonts w:ascii="Arial" w:hAnsi="Arial" w:cs="Arial"/>
          <w:color w:val="auto"/>
        </w:rPr>
        <w:t xml:space="preserve">he new discretionary relief. The Council will accept information that it </w:t>
      </w:r>
      <w:proofErr w:type="gramStart"/>
      <w:r>
        <w:rPr>
          <w:rFonts w:ascii="Arial" w:hAnsi="Arial" w:cs="Arial"/>
          <w:color w:val="auto"/>
        </w:rPr>
        <w:t xml:space="preserve">has </w:t>
      </w:r>
      <w:r w:rsidR="00FC5622" w:rsidRPr="00207984">
        <w:rPr>
          <w:rFonts w:ascii="Arial" w:hAnsi="Arial" w:cs="Arial"/>
          <w:color w:val="auto"/>
        </w:rPr>
        <w:t xml:space="preserve"> received</w:t>
      </w:r>
      <w:proofErr w:type="gramEnd"/>
      <w:r w:rsidR="00FC5622" w:rsidRPr="00207984">
        <w:rPr>
          <w:rFonts w:ascii="Arial" w:hAnsi="Arial" w:cs="Arial"/>
          <w:color w:val="auto"/>
        </w:rPr>
        <w:t xml:space="preserve"> prior to 15 December 2021 but not yet processed.</w:t>
      </w:r>
    </w:p>
    <w:p w:rsidR="00B94ADD" w:rsidRPr="00207984" w:rsidRDefault="00C133DF" w:rsidP="00A05C0B">
      <w:pPr>
        <w:pStyle w:val="NormalWeb"/>
        <w:numPr>
          <w:ilvl w:val="0"/>
          <w:numId w:val="11"/>
        </w:numPr>
        <w:ind w:left="993" w:hanging="363"/>
        <w:rPr>
          <w:rFonts w:ascii="Arial" w:hAnsi="Arial" w:cs="Arial"/>
          <w:b/>
          <w:color w:val="auto"/>
        </w:rPr>
      </w:pPr>
      <w:r w:rsidRPr="00207984">
        <w:rPr>
          <w:rFonts w:ascii="Arial" w:hAnsi="Arial" w:cs="Arial"/>
          <w:color w:val="auto"/>
        </w:rPr>
        <w:t>P</w:t>
      </w:r>
      <w:r w:rsidR="00FC5622" w:rsidRPr="00207984">
        <w:rPr>
          <w:rFonts w:ascii="Arial" w:hAnsi="Arial" w:cs="Arial"/>
          <w:color w:val="auto"/>
        </w:rPr>
        <w:t>roperties not in the business rates list on 15 December 2021 or in the rating list with a 0 (nil) rateable value on that date due to refurbishment works are ineligible for the CARF scheme even where the Valuation Office Agency later update the rating list which would see the property rated (or rateable value increased above 0/nil) from 15 December 2021 or before.</w:t>
      </w:r>
    </w:p>
    <w:p w:rsidR="00B94ADD" w:rsidRPr="00207984" w:rsidRDefault="00B94ADD" w:rsidP="00A05C0B">
      <w:pPr>
        <w:pStyle w:val="NormalWeb"/>
        <w:numPr>
          <w:ilvl w:val="0"/>
          <w:numId w:val="11"/>
        </w:numPr>
        <w:ind w:left="993" w:hanging="363"/>
        <w:rPr>
          <w:rFonts w:ascii="Arial" w:hAnsi="Arial" w:cs="Arial"/>
          <w:b/>
          <w:color w:val="auto"/>
        </w:rPr>
      </w:pPr>
      <w:r w:rsidRPr="00207984">
        <w:rPr>
          <w:rFonts w:ascii="Arial" w:hAnsi="Arial" w:cs="Arial"/>
          <w:color w:val="auto"/>
        </w:rPr>
        <w:t xml:space="preserve">Valuation Office Agency changes to the rateable value of a premises made after 15 December 2021 (whether increased or reduced) will be disregarded for the purposes of this award. Awards will not be retrospectively amended to </w:t>
      </w:r>
      <w:r w:rsidRPr="00207984">
        <w:rPr>
          <w:rFonts w:ascii="Arial" w:hAnsi="Arial" w:cs="Arial"/>
          <w:color w:val="auto"/>
        </w:rPr>
        <w:lastRenderedPageBreak/>
        <w:t xml:space="preserve">reflect these changes or where other reliefs are awarded or reduced after the date of award. </w:t>
      </w:r>
    </w:p>
    <w:p w:rsidR="00C133DF" w:rsidRPr="00B25636" w:rsidRDefault="00FC5622" w:rsidP="00A05C0B">
      <w:pPr>
        <w:pStyle w:val="NormalWeb"/>
        <w:numPr>
          <w:ilvl w:val="0"/>
          <w:numId w:val="11"/>
        </w:numPr>
        <w:ind w:left="993" w:hanging="363"/>
        <w:rPr>
          <w:rFonts w:ascii="Arial" w:hAnsi="Arial" w:cs="Arial"/>
          <w:b/>
          <w:color w:val="auto"/>
        </w:rPr>
      </w:pPr>
      <w:r w:rsidRPr="00207984">
        <w:rPr>
          <w:rFonts w:ascii="Arial" w:hAnsi="Arial" w:cs="Arial"/>
          <w:color w:val="auto"/>
        </w:rPr>
        <w:t xml:space="preserve">All awards are final, except where subsequent / retrospective evidence comes to light showing the award was based on fraud or error. In these cases, the Council reserves the right to revoke or reduce the support after an award is made. In addition, the Council reserves the right to ask for additional evidence or withhold support where it has a reasonable belief that the information it holds is not correct. </w:t>
      </w:r>
    </w:p>
    <w:p w:rsidR="00B25636" w:rsidRPr="00A05C0B" w:rsidRDefault="00B25636" w:rsidP="00DC07F8">
      <w:pPr>
        <w:pStyle w:val="NormalWeb"/>
        <w:rPr>
          <w:rFonts w:ascii="Arial" w:hAnsi="Arial" w:cs="Arial"/>
          <w:b/>
          <w:color w:val="auto"/>
          <w:u w:val="single"/>
        </w:rPr>
      </w:pPr>
      <w:r w:rsidRPr="00A05C0B">
        <w:rPr>
          <w:rFonts w:ascii="Arial" w:hAnsi="Arial" w:cs="Arial"/>
          <w:b/>
          <w:color w:val="auto"/>
          <w:u w:val="single"/>
        </w:rPr>
        <w:t>Evidence required</w:t>
      </w:r>
    </w:p>
    <w:p w:rsidR="00512849" w:rsidRPr="00207984" w:rsidRDefault="00FC5622" w:rsidP="00DC07F8">
      <w:pPr>
        <w:pStyle w:val="NormalWeb"/>
        <w:numPr>
          <w:ilvl w:val="0"/>
          <w:numId w:val="6"/>
        </w:numPr>
        <w:ind w:left="616" w:hanging="616"/>
        <w:rPr>
          <w:rFonts w:ascii="Arial" w:hAnsi="Arial" w:cs="Arial"/>
          <w:b/>
          <w:color w:val="auto"/>
        </w:rPr>
      </w:pPr>
      <w:r w:rsidRPr="00207984">
        <w:rPr>
          <w:rFonts w:ascii="Arial" w:hAnsi="Arial" w:cs="Arial"/>
          <w:color w:val="auto"/>
        </w:rPr>
        <w:t>To demonstrate a business has been adversely affected by the pandemic and that they have been unable to adapt ad</w:t>
      </w:r>
      <w:r w:rsidR="00512849" w:rsidRPr="00207984">
        <w:rPr>
          <w:rFonts w:ascii="Arial" w:hAnsi="Arial" w:cs="Arial"/>
          <w:color w:val="auto"/>
        </w:rPr>
        <w:t>equately to the impact, Oxford City Council’s</w:t>
      </w:r>
      <w:r w:rsidRPr="00207984">
        <w:rPr>
          <w:rFonts w:ascii="Arial" w:hAnsi="Arial" w:cs="Arial"/>
          <w:color w:val="auto"/>
        </w:rPr>
        <w:t xml:space="preserve"> local scheme requires businesses to be able to evide</w:t>
      </w:r>
      <w:r w:rsidR="00512849" w:rsidRPr="00207984">
        <w:rPr>
          <w:rFonts w:ascii="Arial" w:hAnsi="Arial" w:cs="Arial"/>
          <w:color w:val="auto"/>
        </w:rPr>
        <w:t xml:space="preserve">nce income losses </w:t>
      </w:r>
      <w:r w:rsidRPr="00207984">
        <w:rPr>
          <w:rFonts w:ascii="Arial" w:hAnsi="Arial" w:cs="Arial"/>
          <w:color w:val="auto"/>
        </w:rPr>
        <w:t>against pre Covid-19 income levels.</w:t>
      </w:r>
      <w:r w:rsidRPr="00207984">
        <w:rPr>
          <w:color w:val="auto"/>
        </w:rPr>
        <w:t xml:space="preserve"> </w:t>
      </w:r>
      <w:r w:rsidRPr="00207984">
        <w:rPr>
          <w:rFonts w:ascii="Arial" w:hAnsi="Arial" w:cs="Arial"/>
          <w:color w:val="auto"/>
        </w:rPr>
        <w:t>To evidence losses, applicants will be required to submit a minimum of the following (but not limited to):</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t xml:space="preserve"> </w:t>
      </w: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Formal accounts for 2019/20 (pre pandemic)</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t xml:space="preserve"> </w:t>
      </w: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 xml:space="preserve">Formal accounts for 2020/21 </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Either formal accounts for 2021/22 (where possible) or a detailed financial statement from their accountant for the 2021/22 period where formal accounts are not ready. This financial statement must be signed as a statement of fact by the accountant in the event of evidence coming to light the submission was not accurate and relief therefore incorrectly claimed</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 xml:space="preserve">2021/22 Business bank statements for all business-related bank accounts for the applicant (including separate holding, saving and trading accounts where applicable) </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 xml:space="preserve">2020/21 Business bank statements for all business-related bank accounts for the applicant (including separate holding, saving and trading accounts where applicable) </w:t>
      </w:r>
    </w:p>
    <w:p w:rsidR="00512849" w:rsidRPr="00207984" w:rsidRDefault="00FC5622" w:rsidP="00DC07F8">
      <w:pPr>
        <w:pStyle w:val="NormalWeb"/>
        <w:ind w:left="1050" w:hanging="434"/>
        <w:rPr>
          <w:rFonts w:ascii="Arial" w:hAnsi="Arial" w:cs="Arial"/>
          <w:color w:val="auto"/>
        </w:rPr>
      </w:pPr>
      <w:r w:rsidRPr="00207984">
        <w:rPr>
          <w:rFonts w:ascii="Arial" w:hAnsi="Arial" w:cs="Arial"/>
          <w:color w:val="auto"/>
        </w:rPr>
        <w:sym w:font="Symbol" w:char="F0B7"/>
      </w:r>
      <w:r w:rsidRPr="00207984">
        <w:rPr>
          <w:rFonts w:ascii="Arial" w:hAnsi="Arial" w:cs="Arial"/>
          <w:color w:val="auto"/>
        </w:rPr>
        <w:t xml:space="preserve"> </w:t>
      </w:r>
      <w:r w:rsidR="00DC07F8">
        <w:rPr>
          <w:rFonts w:ascii="Arial" w:hAnsi="Arial" w:cs="Arial"/>
          <w:color w:val="auto"/>
        </w:rPr>
        <w:tab/>
      </w:r>
      <w:r w:rsidRPr="00207984">
        <w:rPr>
          <w:rFonts w:ascii="Arial" w:hAnsi="Arial" w:cs="Arial"/>
          <w:color w:val="auto"/>
        </w:rPr>
        <w:t xml:space="preserve">2019/20 Business bank statements for all business-related bank accounts for the applicant (including separate holding, saving and trading accounts where applicable) </w:t>
      </w:r>
    </w:p>
    <w:p w:rsidR="00F12ACF" w:rsidRPr="00207984" w:rsidRDefault="00FC5622" w:rsidP="00DC07F8">
      <w:pPr>
        <w:pStyle w:val="NormalWeb"/>
        <w:ind w:left="1050"/>
        <w:rPr>
          <w:rFonts w:ascii="Arial" w:hAnsi="Arial" w:cs="Arial"/>
          <w:color w:val="auto"/>
        </w:rPr>
      </w:pPr>
      <w:r w:rsidRPr="00207984">
        <w:rPr>
          <w:rFonts w:ascii="Arial" w:hAnsi="Arial" w:cs="Arial"/>
          <w:color w:val="auto"/>
        </w:rPr>
        <w:t>Businesses will be required to provide evidence of actual occupation and trading from the premises they are seeking relief against. Failure to provide suitable evidence will mean the applicant is ineligible for relief</w:t>
      </w:r>
      <w:r w:rsidR="00F12ACF" w:rsidRPr="00207984">
        <w:rPr>
          <w:rFonts w:ascii="Arial" w:hAnsi="Arial" w:cs="Arial"/>
          <w:color w:val="auto"/>
        </w:rPr>
        <w:t>.</w:t>
      </w:r>
    </w:p>
    <w:p w:rsidR="00237101" w:rsidRPr="00207984" w:rsidRDefault="00FC5622" w:rsidP="00DC07F8">
      <w:pPr>
        <w:pStyle w:val="NormalWeb"/>
        <w:numPr>
          <w:ilvl w:val="0"/>
          <w:numId w:val="11"/>
        </w:numPr>
        <w:ind w:left="1050" w:hanging="434"/>
        <w:rPr>
          <w:rFonts w:ascii="Arial" w:hAnsi="Arial" w:cs="Arial"/>
          <w:b/>
          <w:color w:val="auto"/>
        </w:rPr>
      </w:pPr>
      <w:r w:rsidRPr="00207984">
        <w:rPr>
          <w:rFonts w:ascii="Arial" w:hAnsi="Arial" w:cs="Arial"/>
          <w:color w:val="auto"/>
        </w:rPr>
        <w:t>Fully constituted businesses in liquidation, dissolved, struck off or subject to a striking off notice at the date of award are not eligible for our discretionary CARF scheme</w:t>
      </w:r>
      <w:r w:rsidR="009F06E5" w:rsidRPr="00207984">
        <w:rPr>
          <w:rFonts w:ascii="Arial" w:hAnsi="Arial" w:cs="Arial"/>
          <w:color w:val="auto"/>
        </w:rPr>
        <w:t>.</w:t>
      </w:r>
    </w:p>
    <w:p w:rsidR="00237101" w:rsidRPr="00DC07F8" w:rsidRDefault="00237101" w:rsidP="00DC07F8">
      <w:pPr>
        <w:spacing w:after="160" w:line="259" w:lineRule="auto"/>
        <w:ind w:left="426" w:hanging="426"/>
        <w:contextualSpacing/>
        <w:rPr>
          <w:rFonts w:cs="Arial"/>
          <w:b/>
          <w:u w:val="single"/>
        </w:rPr>
      </w:pPr>
      <w:r w:rsidRPr="00DC07F8">
        <w:rPr>
          <w:rFonts w:cs="Arial"/>
          <w:b/>
          <w:u w:val="single"/>
        </w:rPr>
        <w:t>Subsidy rules</w:t>
      </w:r>
    </w:p>
    <w:p w:rsidR="00237101" w:rsidRPr="00DC07F8" w:rsidRDefault="00237101" w:rsidP="00DC07F8">
      <w:pPr>
        <w:pStyle w:val="ListParagraph"/>
        <w:numPr>
          <w:ilvl w:val="0"/>
          <w:numId w:val="6"/>
        </w:numPr>
        <w:tabs>
          <w:tab w:val="clear" w:pos="426"/>
          <w:tab w:val="left" w:pos="490"/>
        </w:tabs>
        <w:ind w:left="490" w:hanging="490"/>
        <w:rPr>
          <w:rFonts w:cs="Arial"/>
          <w:b/>
          <w:sz w:val="28"/>
          <w:szCs w:val="28"/>
          <w:u w:val="single"/>
        </w:rPr>
      </w:pPr>
      <w:r w:rsidRPr="00AD70EE">
        <w:rPr>
          <w:rFonts w:cs="Arial"/>
        </w:rPr>
        <w:lastRenderedPageBreak/>
        <w:t>Providing discretionary relief to ratepayers is likely to amount to a subsidy. An</w:t>
      </w:r>
      <w:r w:rsidR="0021020C" w:rsidRPr="00AD70EE">
        <w:rPr>
          <w:rFonts w:cs="Arial"/>
        </w:rPr>
        <w:t>y relief provided by the Council</w:t>
      </w:r>
      <w:r w:rsidRPr="00AD70EE">
        <w:rPr>
          <w:rFonts w:cs="Arial"/>
        </w:rPr>
        <w:t xml:space="preserve"> under the CARF Scheme will need to comply with the UK’s domestic and international subsidy control obligations</w:t>
      </w:r>
      <w:r w:rsidR="00DC07F8">
        <w:rPr>
          <w:rFonts w:cs="Arial"/>
        </w:rPr>
        <w:t>.</w:t>
      </w:r>
    </w:p>
    <w:p w:rsidR="00DC07F8" w:rsidRPr="00AD70EE" w:rsidRDefault="00DC07F8" w:rsidP="00DC07F8">
      <w:pPr>
        <w:pStyle w:val="ListParagraph"/>
        <w:numPr>
          <w:ilvl w:val="0"/>
          <w:numId w:val="0"/>
        </w:numPr>
        <w:tabs>
          <w:tab w:val="clear" w:pos="426"/>
          <w:tab w:val="left" w:pos="490"/>
        </w:tabs>
        <w:ind w:left="490" w:hanging="490"/>
        <w:rPr>
          <w:rFonts w:cs="Arial"/>
          <w:b/>
          <w:sz w:val="28"/>
          <w:szCs w:val="28"/>
          <w:u w:val="single"/>
        </w:rPr>
      </w:pPr>
    </w:p>
    <w:p w:rsidR="005833B1" w:rsidRPr="00DC07F8" w:rsidRDefault="0021020C" w:rsidP="00DC07F8">
      <w:pPr>
        <w:pStyle w:val="ListParagraph"/>
        <w:numPr>
          <w:ilvl w:val="0"/>
          <w:numId w:val="6"/>
        </w:numPr>
        <w:tabs>
          <w:tab w:val="clear" w:pos="426"/>
          <w:tab w:val="left" w:pos="490"/>
        </w:tabs>
        <w:ind w:left="490" w:hanging="490"/>
        <w:rPr>
          <w:rFonts w:cs="Arial"/>
          <w:b/>
          <w:sz w:val="28"/>
          <w:szCs w:val="28"/>
          <w:u w:val="single"/>
        </w:rPr>
      </w:pPr>
      <w:r>
        <w:rPr>
          <w:rFonts w:cs="Arial"/>
        </w:rPr>
        <w:t xml:space="preserve">The Council </w:t>
      </w:r>
      <w:r w:rsidR="00237101" w:rsidRPr="0021020C">
        <w:rPr>
          <w:rFonts w:cs="Arial"/>
        </w:rPr>
        <w:t>will</w:t>
      </w:r>
      <w:r w:rsidR="005833B1">
        <w:rPr>
          <w:rFonts w:cs="Arial"/>
        </w:rPr>
        <w:t xml:space="preserve"> ask ratepayers</w:t>
      </w:r>
      <w:r w:rsidR="00237101" w:rsidRPr="0021020C">
        <w:rPr>
          <w:rFonts w:cs="Arial"/>
        </w:rPr>
        <w:t xml:space="preserve"> on </w:t>
      </w:r>
      <w:r w:rsidR="005833B1">
        <w:rPr>
          <w:rFonts w:cs="Arial"/>
        </w:rPr>
        <w:t xml:space="preserve">the application form </w:t>
      </w:r>
      <w:r w:rsidR="00237101" w:rsidRPr="0021020C">
        <w:rPr>
          <w:rFonts w:cs="Arial"/>
        </w:rPr>
        <w:t xml:space="preserve">if they are in breach of </w:t>
      </w:r>
      <w:r w:rsidR="00237101" w:rsidRPr="005833B1">
        <w:rPr>
          <w:rFonts w:cs="Arial"/>
        </w:rPr>
        <w:t>the subsidy allowances.</w:t>
      </w:r>
    </w:p>
    <w:p w:rsidR="00DC07F8" w:rsidRPr="00DC07F8" w:rsidRDefault="00DC07F8" w:rsidP="00DC07F8">
      <w:pPr>
        <w:pStyle w:val="ListParagraph"/>
        <w:numPr>
          <w:ilvl w:val="0"/>
          <w:numId w:val="0"/>
        </w:numPr>
        <w:tabs>
          <w:tab w:val="left" w:pos="490"/>
        </w:tabs>
        <w:ind w:left="490" w:hanging="490"/>
        <w:rPr>
          <w:rFonts w:cs="Arial"/>
          <w:b/>
          <w:sz w:val="28"/>
          <w:szCs w:val="28"/>
          <w:u w:val="single"/>
        </w:rPr>
      </w:pPr>
    </w:p>
    <w:p w:rsidR="00237101" w:rsidRPr="00DC07F8" w:rsidRDefault="00237101" w:rsidP="00DC07F8">
      <w:pPr>
        <w:pStyle w:val="ListParagraph"/>
        <w:numPr>
          <w:ilvl w:val="0"/>
          <w:numId w:val="6"/>
        </w:numPr>
        <w:tabs>
          <w:tab w:val="clear" w:pos="426"/>
          <w:tab w:val="left" w:pos="490"/>
        </w:tabs>
        <w:ind w:left="490" w:hanging="490"/>
        <w:rPr>
          <w:rFonts w:cs="Arial"/>
          <w:b/>
          <w:sz w:val="28"/>
          <w:szCs w:val="28"/>
          <w:u w:val="single"/>
        </w:rPr>
      </w:pPr>
      <w:r w:rsidRPr="005833B1">
        <w:rPr>
          <w:rFonts w:cs="Arial"/>
        </w:rPr>
        <w:t xml:space="preserve"> </w:t>
      </w:r>
      <w:r w:rsidR="005833B1" w:rsidRPr="005833B1">
        <w:rPr>
          <w:rFonts w:cs="Arial"/>
        </w:rPr>
        <w:t xml:space="preserve">As part of awarding CARF, the Council </w:t>
      </w:r>
      <w:r w:rsidRPr="005833B1">
        <w:rPr>
          <w:rFonts w:cs="Arial"/>
        </w:rPr>
        <w:t>will ask businesses to keep necessary documentation to evidence this.</w:t>
      </w:r>
    </w:p>
    <w:p w:rsidR="00DC07F8" w:rsidRPr="00DC07F8" w:rsidRDefault="00DC07F8" w:rsidP="00DC07F8">
      <w:pPr>
        <w:pStyle w:val="ListParagraph"/>
        <w:numPr>
          <w:ilvl w:val="0"/>
          <w:numId w:val="0"/>
        </w:numPr>
        <w:tabs>
          <w:tab w:val="left" w:pos="490"/>
        </w:tabs>
        <w:ind w:left="490" w:hanging="490"/>
        <w:rPr>
          <w:rFonts w:cs="Arial"/>
          <w:b/>
          <w:sz w:val="28"/>
          <w:szCs w:val="28"/>
          <w:u w:val="single"/>
        </w:rPr>
      </w:pPr>
    </w:p>
    <w:p w:rsidR="00FC5622" w:rsidRPr="00FC5622" w:rsidRDefault="00237101" w:rsidP="00DC07F8">
      <w:pPr>
        <w:pStyle w:val="ListParagraph"/>
        <w:numPr>
          <w:ilvl w:val="0"/>
          <w:numId w:val="6"/>
        </w:numPr>
        <w:tabs>
          <w:tab w:val="clear" w:pos="426"/>
          <w:tab w:val="left" w:pos="490"/>
        </w:tabs>
        <w:ind w:left="490" w:hanging="490"/>
        <w:rPr>
          <w:rFonts w:cs="Arial"/>
          <w:b/>
          <w:sz w:val="28"/>
          <w:szCs w:val="28"/>
          <w:u w:val="single"/>
        </w:rPr>
      </w:pPr>
      <w:r w:rsidRPr="005833B1">
        <w:rPr>
          <w:rFonts w:cs="Arial"/>
        </w:rPr>
        <w:t>The guidance provides sample paragraphs and these will be sent to ratepayers alongside a revised demand notice, so that the</w:t>
      </w:r>
      <w:r w:rsidR="005833B1" w:rsidRPr="005833B1">
        <w:rPr>
          <w:rFonts w:cs="Arial"/>
        </w:rPr>
        <w:t>y have the ability to advise the Council</w:t>
      </w:r>
      <w:r w:rsidRPr="005833B1">
        <w:rPr>
          <w:rFonts w:cs="Arial"/>
        </w:rPr>
        <w:t xml:space="preserve"> if they have reached subsidy li</w:t>
      </w:r>
      <w:r w:rsidR="005833B1">
        <w:rPr>
          <w:rFonts w:cs="Arial"/>
        </w:rPr>
        <w:t>mits and wish to refuse the CARF.</w:t>
      </w:r>
    </w:p>
    <w:p w:rsidR="00B25636" w:rsidRDefault="00B25636" w:rsidP="00B25636">
      <w:pPr>
        <w:ind w:left="294"/>
        <w:rPr>
          <w:b/>
          <w:sz w:val="28"/>
          <w:szCs w:val="28"/>
          <w:u w:val="single"/>
        </w:rPr>
      </w:pPr>
    </w:p>
    <w:p w:rsidR="00FC5622" w:rsidRPr="00DC07F8" w:rsidRDefault="00DC07F8" w:rsidP="00DC07F8">
      <w:pPr>
        <w:rPr>
          <w:b/>
          <w:u w:val="single"/>
        </w:rPr>
      </w:pPr>
      <w:r>
        <w:rPr>
          <w:b/>
          <w:u w:val="single"/>
        </w:rPr>
        <w:t>Risk</w:t>
      </w:r>
      <w:r w:rsidR="00BD5CE9" w:rsidRPr="00DC07F8">
        <w:rPr>
          <w:b/>
          <w:u w:val="single"/>
        </w:rPr>
        <w:t xml:space="preserve"> Implications</w:t>
      </w:r>
    </w:p>
    <w:p w:rsidR="00FC5622" w:rsidRPr="0033604F" w:rsidRDefault="00FC5622" w:rsidP="0033604F">
      <w:pPr>
        <w:rPr>
          <w:b/>
          <w:sz w:val="28"/>
          <w:szCs w:val="28"/>
          <w:u w:val="single"/>
        </w:rPr>
      </w:pPr>
    </w:p>
    <w:tbl>
      <w:tblPr>
        <w:tblStyle w:val="TableGrid"/>
        <w:tblW w:w="0" w:type="auto"/>
        <w:tblInd w:w="-5" w:type="dxa"/>
        <w:tblLook w:val="04A0" w:firstRow="1" w:lastRow="0" w:firstColumn="1" w:lastColumn="0" w:noHBand="0" w:noVBand="1"/>
      </w:tblPr>
      <w:tblGrid>
        <w:gridCol w:w="4276"/>
        <w:gridCol w:w="4292"/>
      </w:tblGrid>
      <w:tr w:rsidR="0033604F" w:rsidTr="00DC07F8">
        <w:tc>
          <w:tcPr>
            <w:tcW w:w="4276" w:type="dxa"/>
          </w:tcPr>
          <w:p w:rsidR="00FC5622" w:rsidRDefault="00FC5622" w:rsidP="00FC5622">
            <w:pPr>
              <w:pStyle w:val="ListParagraph"/>
              <w:numPr>
                <w:ilvl w:val="0"/>
                <w:numId w:val="0"/>
              </w:numPr>
              <w:rPr>
                <w:b/>
                <w:sz w:val="28"/>
                <w:szCs w:val="28"/>
                <w:u w:val="single"/>
              </w:rPr>
            </w:pPr>
            <w:r>
              <w:t>Risks</w:t>
            </w:r>
          </w:p>
        </w:tc>
        <w:tc>
          <w:tcPr>
            <w:tcW w:w="4292" w:type="dxa"/>
          </w:tcPr>
          <w:p w:rsidR="00FC5622" w:rsidRDefault="00FC5622" w:rsidP="00FC5622">
            <w:pPr>
              <w:pStyle w:val="ListParagraph"/>
              <w:numPr>
                <w:ilvl w:val="0"/>
                <w:numId w:val="0"/>
              </w:numPr>
              <w:rPr>
                <w:b/>
                <w:sz w:val="28"/>
                <w:szCs w:val="28"/>
                <w:u w:val="single"/>
              </w:rPr>
            </w:pPr>
            <w:r>
              <w:t>Mitigations</w:t>
            </w:r>
          </w:p>
        </w:tc>
      </w:tr>
      <w:tr w:rsidR="0033604F" w:rsidTr="00DC07F8">
        <w:tc>
          <w:tcPr>
            <w:tcW w:w="4276" w:type="dxa"/>
          </w:tcPr>
          <w:p w:rsidR="00FC5622" w:rsidRDefault="00FC5622" w:rsidP="0033604F">
            <w:pPr>
              <w:pStyle w:val="ListParagraph"/>
              <w:numPr>
                <w:ilvl w:val="0"/>
                <w:numId w:val="0"/>
              </w:numPr>
              <w:rPr>
                <w:b/>
                <w:sz w:val="28"/>
                <w:szCs w:val="28"/>
                <w:u w:val="single"/>
              </w:rPr>
            </w:pPr>
            <w:r>
              <w:t xml:space="preserve">IT solution is not in place </w:t>
            </w:r>
            <w:r w:rsidR="0033604F">
              <w:t>to meet the requirements of the scheme</w:t>
            </w:r>
          </w:p>
        </w:tc>
        <w:tc>
          <w:tcPr>
            <w:tcW w:w="4292" w:type="dxa"/>
          </w:tcPr>
          <w:p w:rsidR="00FC5622" w:rsidRDefault="00FC5622" w:rsidP="0033604F">
            <w:pPr>
              <w:pStyle w:val="ListParagraph"/>
              <w:numPr>
                <w:ilvl w:val="0"/>
                <w:numId w:val="0"/>
              </w:numPr>
              <w:rPr>
                <w:b/>
                <w:sz w:val="28"/>
                <w:szCs w:val="28"/>
                <w:u w:val="single"/>
              </w:rPr>
            </w:pPr>
            <w:r>
              <w:t xml:space="preserve">Civica are </w:t>
            </w:r>
            <w:r w:rsidR="0033604F">
              <w:t xml:space="preserve">currently </w:t>
            </w:r>
            <w:r>
              <w:t xml:space="preserve">working on this </w:t>
            </w:r>
            <w:r w:rsidR="0033604F">
              <w:t>and the Council also uses the Ascendant Grant Assurance portal which is used by a number if authorities and will allow an application to be made via the portal for eligible businesses. This will mean that</w:t>
            </w:r>
            <w:r>
              <w:t xml:space="preserve"> the admin</w:t>
            </w:r>
            <w:r w:rsidR="0033604F">
              <w:t>istration</w:t>
            </w:r>
            <w:r>
              <w:t xml:space="preserve"> process is minimised</w:t>
            </w:r>
          </w:p>
        </w:tc>
      </w:tr>
      <w:tr w:rsidR="0033604F" w:rsidTr="00DC07F8">
        <w:tc>
          <w:tcPr>
            <w:tcW w:w="4276" w:type="dxa"/>
          </w:tcPr>
          <w:p w:rsidR="00FC5622" w:rsidRDefault="0033604F" w:rsidP="00FC5622">
            <w:pPr>
              <w:pStyle w:val="ListParagraph"/>
              <w:numPr>
                <w:ilvl w:val="0"/>
                <w:numId w:val="0"/>
              </w:numPr>
              <w:rPr>
                <w:b/>
                <w:sz w:val="28"/>
                <w:szCs w:val="28"/>
                <w:u w:val="single"/>
              </w:rPr>
            </w:pPr>
            <w:r>
              <w:t>An overspend or underspend vs the budget</w:t>
            </w:r>
          </w:p>
        </w:tc>
        <w:tc>
          <w:tcPr>
            <w:tcW w:w="4292" w:type="dxa"/>
          </w:tcPr>
          <w:p w:rsidR="00FC5622" w:rsidRDefault="0033604F" w:rsidP="0033604F">
            <w:pPr>
              <w:pStyle w:val="ListParagraph"/>
              <w:numPr>
                <w:ilvl w:val="0"/>
                <w:numId w:val="0"/>
              </w:numPr>
              <w:rPr>
                <w:b/>
                <w:sz w:val="28"/>
                <w:szCs w:val="28"/>
                <w:u w:val="single"/>
              </w:rPr>
            </w:pPr>
            <w:r>
              <w:t xml:space="preserve">The Council has modelled the options carefully in devising this scheme to maximise the relief available to support as many businesses in need as possible. It is not expected that all businesses currently potentially in scope will evidence eligibility. It is possible the scheme could result in </w:t>
            </w:r>
            <w:proofErr w:type="gramStart"/>
            <w:r>
              <w:t>an underspend</w:t>
            </w:r>
            <w:proofErr w:type="gramEnd"/>
            <w:r w:rsidR="00C323A3">
              <w:t xml:space="preserve"> of </w:t>
            </w:r>
            <w:r w:rsidR="00B050F9">
              <w:t xml:space="preserve">the </w:t>
            </w:r>
            <w:r w:rsidR="00C323A3">
              <w:t>funding, in which case</w:t>
            </w:r>
            <w:r>
              <w:t xml:space="preserve"> top ups would be awarded to ensure 100% of government funding was allocated. This would be subject to a further </w:t>
            </w:r>
            <w:r w:rsidR="003D588B">
              <w:t xml:space="preserve">Member </w:t>
            </w:r>
            <w:r>
              <w:t>decision.</w:t>
            </w:r>
          </w:p>
        </w:tc>
      </w:tr>
      <w:tr w:rsidR="0033604F" w:rsidTr="00DC07F8">
        <w:tc>
          <w:tcPr>
            <w:tcW w:w="4276" w:type="dxa"/>
          </w:tcPr>
          <w:p w:rsidR="00FC5622" w:rsidRDefault="0033604F" w:rsidP="00FC5622">
            <w:pPr>
              <w:pStyle w:val="ListParagraph"/>
              <w:numPr>
                <w:ilvl w:val="0"/>
                <w:numId w:val="0"/>
              </w:numPr>
              <w:rPr>
                <w:b/>
                <w:sz w:val="28"/>
                <w:szCs w:val="28"/>
                <w:u w:val="single"/>
              </w:rPr>
            </w:pPr>
            <w:r>
              <w:t>Risk of fraud and error with recipients receiving relief despite exceeding capping levels</w:t>
            </w:r>
          </w:p>
        </w:tc>
        <w:tc>
          <w:tcPr>
            <w:tcW w:w="4292" w:type="dxa"/>
          </w:tcPr>
          <w:p w:rsidR="00FC5622" w:rsidRDefault="0033604F" w:rsidP="00D43AFD">
            <w:pPr>
              <w:pStyle w:val="ListParagraph"/>
              <w:numPr>
                <w:ilvl w:val="0"/>
                <w:numId w:val="0"/>
              </w:numPr>
              <w:rPr>
                <w:b/>
                <w:sz w:val="28"/>
                <w:szCs w:val="28"/>
                <w:u w:val="single"/>
              </w:rPr>
            </w:pPr>
            <w:r>
              <w:t>The scheme allows for the reduction or revoking of a relief amount which safeguards the Council regarding any fraudulent or er</w:t>
            </w:r>
            <w:r w:rsidR="00D43AFD">
              <w:t xml:space="preserve">roneous claims post award. As the Council has </w:t>
            </w:r>
            <w:r>
              <w:t xml:space="preserve">laid out our eligibility criteria and a retrospective removal is based on the applicant not meeting eligibility criteria rather than the scheme itself changing or ending, </w:t>
            </w:r>
            <w:r w:rsidR="00D43AFD">
              <w:t>it is</w:t>
            </w:r>
            <w:r>
              <w:t xml:space="preserve"> able to remove the relief in year. The traditional 1 years notice of </w:t>
            </w:r>
            <w:r>
              <w:lastRenderedPageBreak/>
              <w:t>revoking or removing an award based on the scheme changing or being removed would not apply in these circumstances</w:t>
            </w:r>
          </w:p>
        </w:tc>
      </w:tr>
    </w:tbl>
    <w:p w:rsidR="00FC5622" w:rsidRDefault="00FC5622" w:rsidP="00FC5622">
      <w:pPr>
        <w:pStyle w:val="ListParagraph"/>
        <w:numPr>
          <w:ilvl w:val="0"/>
          <w:numId w:val="0"/>
        </w:numPr>
        <w:ind w:left="720"/>
        <w:rPr>
          <w:b/>
          <w:sz w:val="28"/>
          <w:szCs w:val="28"/>
          <w:u w:val="single"/>
        </w:rPr>
      </w:pPr>
    </w:p>
    <w:p w:rsidR="0033604F" w:rsidRDefault="0033604F" w:rsidP="00FC5622">
      <w:pPr>
        <w:pStyle w:val="ListParagraph"/>
        <w:numPr>
          <w:ilvl w:val="0"/>
          <w:numId w:val="0"/>
        </w:numPr>
        <w:ind w:left="720"/>
        <w:rPr>
          <w:b/>
          <w:sz w:val="28"/>
          <w:szCs w:val="28"/>
          <w:u w:val="single"/>
        </w:rPr>
      </w:pPr>
    </w:p>
    <w:p w:rsidR="005833B1" w:rsidRDefault="005833B1" w:rsidP="00207984">
      <w:pPr>
        <w:pStyle w:val="ListParagraph"/>
        <w:numPr>
          <w:ilvl w:val="0"/>
          <w:numId w:val="0"/>
        </w:numPr>
        <w:ind w:left="720"/>
      </w:pPr>
    </w:p>
    <w:p w:rsidR="00002911" w:rsidRDefault="00002911" w:rsidP="00002911">
      <w:pPr>
        <w:pStyle w:val="ListParagraph"/>
        <w:numPr>
          <w:ilvl w:val="0"/>
          <w:numId w:val="0"/>
        </w:numPr>
        <w:ind w:left="108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237101" w:rsidP="00A46E98">
            <w:pPr>
              <w:rPr>
                <w:b/>
              </w:rPr>
            </w:pPr>
            <w:r>
              <w:t xml:space="preserve"> </w:t>
            </w:r>
            <w:r w:rsidR="00E87F7A"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B26F4" w:rsidP="00A46E98">
            <w:r>
              <w:t xml:space="preserve">Tanya </w:t>
            </w:r>
            <w:proofErr w:type="spellStart"/>
            <w:r>
              <w:t>Bandekar</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B26F4"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B26F4" w:rsidP="00A46E98">
            <w:r>
              <w:t>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B26F4">
            <w:r w:rsidRPr="001356F1">
              <w:t xml:space="preserve">01865 </w:t>
            </w:r>
            <w:r w:rsidR="00FB26F4">
              <w:t>252281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Default="006F262D" w:rsidP="00A46E98">
            <w:pPr>
              <w:rPr>
                <w:rStyle w:val="Hyperlink"/>
                <w:color w:val="000000"/>
              </w:rPr>
            </w:pPr>
            <w:hyperlink r:id="rId12" w:history="1">
              <w:r w:rsidR="00C822C6" w:rsidRPr="006F31BE">
                <w:rPr>
                  <w:rStyle w:val="Hyperlink"/>
                </w:rPr>
                <w:t>tbandekar@oxford.gov.uk</w:t>
              </w:r>
            </w:hyperlink>
          </w:p>
          <w:p w:rsidR="00C822C6" w:rsidRPr="001356F1" w:rsidRDefault="00C822C6" w:rsidP="00A46E98">
            <w:pPr>
              <w:rPr>
                <w:rStyle w:val="Hyperlink"/>
                <w:color w:val="000000"/>
              </w:rPr>
            </w:pP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DC07F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BC78A7" w:rsidRDefault="00BC78A7" w:rsidP="0093067A"/>
    <w:p w:rsidR="00BC78A7" w:rsidRDefault="00BC78A7" w:rsidP="0093067A"/>
    <w:p w:rsidR="00BC78A7" w:rsidRDefault="00BC78A7" w:rsidP="0093067A"/>
    <w:p w:rsidR="004456DD" w:rsidRPr="009E51FC" w:rsidRDefault="004456DD" w:rsidP="0093067A"/>
    <w:sectPr w:rsidR="004456DD" w:rsidRPr="009E51FC" w:rsidSect="00AB1DF0">
      <w:footerReference w:type="even" r:id="rId13"/>
      <w:head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E7" w:rsidRDefault="009E5CE7" w:rsidP="004A6D2F">
      <w:r>
        <w:separator/>
      </w:r>
    </w:p>
  </w:endnote>
  <w:endnote w:type="continuationSeparator" w:id="0">
    <w:p w:rsidR="009E5CE7" w:rsidRDefault="009E5CE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E7" w:rsidRDefault="009E5CE7" w:rsidP="004A6D2F">
      <w:r>
        <w:separator/>
      </w:r>
    </w:p>
  </w:footnote>
  <w:footnote w:type="continuationSeparator" w:id="0">
    <w:p w:rsidR="009E5CE7" w:rsidRDefault="009E5CE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55FC31F2" wp14:editId="4714F5C4">
          <wp:extent cx="838200" cy="1119505"/>
          <wp:effectExtent l="0" t="0" r="0" b="444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5A1F65"/>
    <w:multiLevelType w:val="hybridMultilevel"/>
    <w:tmpl w:val="BBA8CFB8"/>
    <w:lvl w:ilvl="0" w:tplc="9CB67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8A010C"/>
    <w:multiLevelType w:val="hybridMultilevel"/>
    <w:tmpl w:val="76AA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61988"/>
    <w:multiLevelType w:val="hybridMultilevel"/>
    <w:tmpl w:val="FBB87982"/>
    <w:lvl w:ilvl="0" w:tplc="312CF184">
      <w:start w:val="1"/>
      <w:numFmt w:val="decimal"/>
      <w:lvlText w:val="%1."/>
      <w:lvlJc w:val="left"/>
      <w:pPr>
        <w:ind w:left="720" w:hanging="360"/>
      </w:pPr>
      <w:rPr>
        <w:rFonts w:hint="default"/>
        <w:b w:val="0"/>
        <w:sz w:val="24"/>
        <w:szCs w:val="24"/>
      </w:rPr>
    </w:lvl>
    <w:lvl w:ilvl="1" w:tplc="6A06E2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627D51"/>
    <w:multiLevelType w:val="hybridMultilevel"/>
    <w:tmpl w:val="B472F36E"/>
    <w:lvl w:ilvl="0" w:tplc="0B2C085A">
      <w:start w:val="3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E45D3F"/>
    <w:multiLevelType w:val="hybridMultilevel"/>
    <w:tmpl w:val="23E2D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4424D9"/>
    <w:multiLevelType w:val="hybridMultilevel"/>
    <w:tmpl w:val="A5DC806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E476751"/>
    <w:multiLevelType w:val="hybridMultilevel"/>
    <w:tmpl w:val="BC42C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4E31DC5"/>
    <w:multiLevelType w:val="hybridMultilevel"/>
    <w:tmpl w:val="9D36D204"/>
    <w:lvl w:ilvl="0" w:tplc="C9F8C2FC">
      <w:start w:val="34"/>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8365C6"/>
    <w:multiLevelType w:val="multilevel"/>
    <w:tmpl w:val="E67CE66C"/>
    <w:numStyleLink w:val="StyleNumberedLeft0cmHanging075cm"/>
  </w:abstractNum>
  <w:abstractNum w:abstractNumId="13">
    <w:nsid w:val="7EDF7E5E"/>
    <w:multiLevelType w:val="hybridMultilevel"/>
    <w:tmpl w:val="5810C35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2"/>
  </w:num>
  <w:num w:numId="3">
    <w:abstractNumId w:val="5"/>
  </w:num>
  <w:num w:numId="4">
    <w:abstractNumId w:val="1"/>
  </w:num>
  <w:num w:numId="5">
    <w:abstractNumId w:val="11"/>
  </w:num>
  <w:num w:numId="6">
    <w:abstractNumId w:val="4"/>
  </w:num>
  <w:num w:numId="7">
    <w:abstractNumId w:val="8"/>
  </w:num>
  <w:num w:numId="8">
    <w:abstractNumId w:val="2"/>
  </w:num>
  <w:num w:numId="9">
    <w:abstractNumId w:val="7"/>
  </w:num>
  <w:num w:numId="10">
    <w:abstractNumId w:val="13"/>
  </w:num>
  <w:num w:numId="11">
    <w:abstractNumId w:val="9"/>
  </w:num>
  <w:num w:numId="12">
    <w:abstractNumId w:val="6"/>
  </w:num>
  <w:num w:numId="13">
    <w:abstractNumId w:val="10"/>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02911"/>
    <w:rsid w:val="000117D4"/>
    <w:rsid w:val="000314D7"/>
    <w:rsid w:val="00034054"/>
    <w:rsid w:val="00045F8B"/>
    <w:rsid w:val="00046D2B"/>
    <w:rsid w:val="00056263"/>
    <w:rsid w:val="00064D8A"/>
    <w:rsid w:val="00064F82"/>
    <w:rsid w:val="00066510"/>
    <w:rsid w:val="00077523"/>
    <w:rsid w:val="000A4486"/>
    <w:rsid w:val="000B1DFC"/>
    <w:rsid w:val="000C089F"/>
    <w:rsid w:val="000C3928"/>
    <w:rsid w:val="000C5E8E"/>
    <w:rsid w:val="000F4751"/>
    <w:rsid w:val="0010524C"/>
    <w:rsid w:val="00111FB1"/>
    <w:rsid w:val="00113418"/>
    <w:rsid w:val="001356F1"/>
    <w:rsid w:val="00136994"/>
    <w:rsid w:val="00137D9F"/>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133D"/>
    <w:rsid w:val="002069B3"/>
    <w:rsid w:val="002069B4"/>
    <w:rsid w:val="00207984"/>
    <w:rsid w:val="0021020C"/>
    <w:rsid w:val="002209AC"/>
    <w:rsid w:val="00221DD3"/>
    <w:rsid w:val="002329CF"/>
    <w:rsid w:val="00232F5B"/>
    <w:rsid w:val="00237101"/>
    <w:rsid w:val="0024245B"/>
    <w:rsid w:val="00247C29"/>
    <w:rsid w:val="00260467"/>
    <w:rsid w:val="00263EA3"/>
    <w:rsid w:val="00284F85"/>
    <w:rsid w:val="002870C3"/>
    <w:rsid w:val="00290915"/>
    <w:rsid w:val="0029379F"/>
    <w:rsid w:val="002A22E2"/>
    <w:rsid w:val="002A6E31"/>
    <w:rsid w:val="002B6836"/>
    <w:rsid w:val="002C50D5"/>
    <w:rsid w:val="002C64F7"/>
    <w:rsid w:val="002F41F2"/>
    <w:rsid w:val="00301BF3"/>
    <w:rsid w:val="0030208D"/>
    <w:rsid w:val="00323418"/>
    <w:rsid w:val="003357BF"/>
    <w:rsid w:val="0033604F"/>
    <w:rsid w:val="00364FAD"/>
    <w:rsid w:val="0036738F"/>
    <w:rsid w:val="0036759C"/>
    <w:rsid w:val="00367AE5"/>
    <w:rsid w:val="00367D71"/>
    <w:rsid w:val="003726B8"/>
    <w:rsid w:val="0038150A"/>
    <w:rsid w:val="003B03E4"/>
    <w:rsid w:val="003B6E75"/>
    <w:rsid w:val="003B7DA1"/>
    <w:rsid w:val="003C4933"/>
    <w:rsid w:val="003D0379"/>
    <w:rsid w:val="003D2574"/>
    <w:rsid w:val="003D4C59"/>
    <w:rsid w:val="003D588B"/>
    <w:rsid w:val="003F4267"/>
    <w:rsid w:val="00404032"/>
    <w:rsid w:val="0040736F"/>
    <w:rsid w:val="00412C1F"/>
    <w:rsid w:val="00421CB2"/>
    <w:rsid w:val="004268B9"/>
    <w:rsid w:val="00433B96"/>
    <w:rsid w:val="0044110E"/>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133A"/>
    <w:rsid w:val="004E2959"/>
    <w:rsid w:val="004F20EF"/>
    <w:rsid w:val="004F5C6B"/>
    <w:rsid w:val="0050321C"/>
    <w:rsid w:val="00507ECC"/>
    <w:rsid w:val="00512849"/>
    <w:rsid w:val="0054712D"/>
    <w:rsid w:val="00547EF6"/>
    <w:rsid w:val="005570B5"/>
    <w:rsid w:val="00567E18"/>
    <w:rsid w:val="00575F5F"/>
    <w:rsid w:val="005808C3"/>
    <w:rsid w:val="00581805"/>
    <w:rsid w:val="005833B1"/>
    <w:rsid w:val="00585F76"/>
    <w:rsid w:val="005A0D03"/>
    <w:rsid w:val="005A34E4"/>
    <w:rsid w:val="005A4D7E"/>
    <w:rsid w:val="005A6610"/>
    <w:rsid w:val="005B17F2"/>
    <w:rsid w:val="005B7FB0"/>
    <w:rsid w:val="005C35A5"/>
    <w:rsid w:val="005C577C"/>
    <w:rsid w:val="005D0621"/>
    <w:rsid w:val="005D1E27"/>
    <w:rsid w:val="005D2A3E"/>
    <w:rsid w:val="005E022E"/>
    <w:rsid w:val="005E5215"/>
    <w:rsid w:val="005F558C"/>
    <w:rsid w:val="005F7F7E"/>
    <w:rsid w:val="00614693"/>
    <w:rsid w:val="00623C2F"/>
    <w:rsid w:val="00633578"/>
    <w:rsid w:val="00637068"/>
    <w:rsid w:val="006375DA"/>
    <w:rsid w:val="0064399A"/>
    <w:rsid w:val="00650811"/>
    <w:rsid w:val="00661D3E"/>
    <w:rsid w:val="00692627"/>
    <w:rsid w:val="006969E7"/>
    <w:rsid w:val="006A3643"/>
    <w:rsid w:val="006B10C2"/>
    <w:rsid w:val="006C2A29"/>
    <w:rsid w:val="006C64CF"/>
    <w:rsid w:val="006D17B1"/>
    <w:rsid w:val="006D4752"/>
    <w:rsid w:val="006D708A"/>
    <w:rsid w:val="006E14C1"/>
    <w:rsid w:val="006F0292"/>
    <w:rsid w:val="006F262D"/>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D6A48"/>
    <w:rsid w:val="007E2A26"/>
    <w:rsid w:val="007F2348"/>
    <w:rsid w:val="007F4757"/>
    <w:rsid w:val="00803F07"/>
    <w:rsid w:val="0080749A"/>
    <w:rsid w:val="00821FB8"/>
    <w:rsid w:val="00822ACD"/>
    <w:rsid w:val="00855C66"/>
    <w:rsid w:val="00871EE4"/>
    <w:rsid w:val="008954DF"/>
    <w:rsid w:val="008B293F"/>
    <w:rsid w:val="008B7371"/>
    <w:rsid w:val="008D1CEE"/>
    <w:rsid w:val="008D3DDB"/>
    <w:rsid w:val="008F3B04"/>
    <w:rsid w:val="008F573F"/>
    <w:rsid w:val="009034EC"/>
    <w:rsid w:val="0093067A"/>
    <w:rsid w:val="00941C60"/>
    <w:rsid w:val="00941FD1"/>
    <w:rsid w:val="00966D42"/>
    <w:rsid w:val="00971689"/>
    <w:rsid w:val="0097170F"/>
    <w:rsid w:val="00973E90"/>
    <w:rsid w:val="00975B07"/>
    <w:rsid w:val="00980B4A"/>
    <w:rsid w:val="009B35B8"/>
    <w:rsid w:val="009B3E8A"/>
    <w:rsid w:val="009B6363"/>
    <w:rsid w:val="009E3D0A"/>
    <w:rsid w:val="009E51FC"/>
    <w:rsid w:val="009E5CE7"/>
    <w:rsid w:val="009F06E5"/>
    <w:rsid w:val="009F1D28"/>
    <w:rsid w:val="009F7618"/>
    <w:rsid w:val="00A0376E"/>
    <w:rsid w:val="00A04D23"/>
    <w:rsid w:val="00A05C0B"/>
    <w:rsid w:val="00A06766"/>
    <w:rsid w:val="00A13765"/>
    <w:rsid w:val="00A21B12"/>
    <w:rsid w:val="00A23F80"/>
    <w:rsid w:val="00A46E98"/>
    <w:rsid w:val="00A6352B"/>
    <w:rsid w:val="00A701B5"/>
    <w:rsid w:val="00A714BB"/>
    <w:rsid w:val="00A77147"/>
    <w:rsid w:val="00A92D8F"/>
    <w:rsid w:val="00AB1DF0"/>
    <w:rsid w:val="00AB2988"/>
    <w:rsid w:val="00AB7999"/>
    <w:rsid w:val="00AD3292"/>
    <w:rsid w:val="00AD70EE"/>
    <w:rsid w:val="00AE1684"/>
    <w:rsid w:val="00AE3D58"/>
    <w:rsid w:val="00AE78CD"/>
    <w:rsid w:val="00AE7AF0"/>
    <w:rsid w:val="00B050F9"/>
    <w:rsid w:val="00B25636"/>
    <w:rsid w:val="00B500CA"/>
    <w:rsid w:val="00B86314"/>
    <w:rsid w:val="00B94ADD"/>
    <w:rsid w:val="00BA1C2E"/>
    <w:rsid w:val="00BB5AB2"/>
    <w:rsid w:val="00BC200B"/>
    <w:rsid w:val="00BC4756"/>
    <w:rsid w:val="00BC69A4"/>
    <w:rsid w:val="00BC726D"/>
    <w:rsid w:val="00BC78A7"/>
    <w:rsid w:val="00BD5CE9"/>
    <w:rsid w:val="00BE0680"/>
    <w:rsid w:val="00BE305F"/>
    <w:rsid w:val="00BE7BA3"/>
    <w:rsid w:val="00BF5682"/>
    <w:rsid w:val="00BF7B09"/>
    <w:rsid w:val="00C05260"/>
    <w:rsid w:val="00C076B9"/>
    <w:rsid w:val="00C13356"/>
    <w:rsid w:val="00C133DF"/>
    <w:rsid w:val="00C20A95"/>
    <w:rsid w:val="00C2692F"/>
    <w:rsid w:val="00C3207C"/>
    <w:rsid w:val="00C323A3"/>
    <w:rsid w:val="00C400E1"/>
    <w:rsid w:val="00C41187"/>
    <w:rsid w:val="00C63C31"/>
    <w:rsid w:val="00C757A0"/>
    <w:rsid w:val="00C760DE"/>
    <w:rsid w:val="00C822C6"/>
    <w:rsid w:val="00C82630"/>
    <w:rsid w:val="00C85B4E"/>
    <w:rsid w:val="00C907F7"/>
    <w:rsid w:val="00C95DB7"/>
    <w:rsid w:val="00C96E4B"/>
    <w:rsid w:val="00CA2103"/>
    <w:rsid w:val="00CB21E8"/>
    <w:rsid w:val="00CB6B99"/>
    <w:rsid w:val="00CE4C87"/>
    <w:rsid w:val="00CE544A"/>
    <w:rsid w:val="00D11E1C"/>
    <w:rsid w:val="00D160B0"/>
    <w:rsid w:val="00D17F94"/>
    <w:rsid w:val="00D223FC"/>
    <w:rsid w:val="00D26D1E"/>
    <w:rsid w:val="00D43AFD"/>
    <w:rsid w:val="00D474CF"/>
    <w:rsid w:val="00D5547E"/>
    <w:rsid w:val="00D860E2"/>
    <w:rsid w:val="00D869A1"/>
    <w:rsid w:val="00D979FA"/>
    <w:rsid w:val="00DA08A4"/>
    <w:rsid w:val="00DA413F"/>
    <w:rsid w:val="00DA4584"/>
    <w:rsid w:val="00DA614B"/>
    <w:rsid w:val="00DB7AD7"/>
    <w:rsid w:val="00DC07F8"/>
    <w:rsid w:val="00DC3060"/>
    <w:rsid w:val="00DE0FB2"/>
    <w:rsid w:val="00DF093E"/>
    <w:rsid w:val="00E01D59"/>
    <w:rsid w:val="00E01F42"/>
    <w:rsid w:val="00E206D6"/>
    <w:rsid w:val="00E2430B"/>
    <w:rsid w:val="00E3366E"/>
    <w:rsid w:val="00E52086"/>
    <w:rsid w:val="00E543A6"/>
    <w:rsid w:val="00E60479"/>
    <w:rsid w:val="00E61D73"/>
    <w:rsid w:val="00E7121B"/>
    <w:rsid w:val="00E73684"/>
    <w:rsid w:val="00E818D6"/>
    <w:rsid w:val="00E87F7A"/>
    <w:rsid w:val="00E94B3E"/>
    <w:rsid w:val="00E96BD7"/>
    <w:rsid w:val="00EA0DB1"/>
    <w:rsid w:val="00EA0EE9"/>
    <w:rsid w:val="00EA1392"/>
    <w:rsid w:val="00EC1D84"/>
    <w:rsid w:val="00ED52CA"/>
    <w:rsid w:val="00ED5860"/>
    <w:rsid w:val="00EE35C9"/>
    <w:rsid w:val="00F05ECA"/>
    <w:rsid w:val="00F12ACF"/>
    <w:rsid w:val="00F26E21"/>
    <w:rsid w:val="00F3566E"/>
    <w:rsid w:val="00F375FB"/>
    <w:rsid w:val="00F41AC1"/>
    <w:rsid w:val="00F4367A"/>
    <w:rsid w:val="00F445B1"/>
    <w:rsid w:val="00F45CD4"/>
    <w:rsid w:val="00F536E5"/>
    <w:rsid w:val="00F6217E"/>
    <w:rsid w:val="00F66DCA"/>
    <w:rsid w:val="00F74F53"/>
    <w:rsid w:val="00F7606D"/>
    <w:rsid w:val="00F81670"/>
    <w:rsid w:val="00F82024"/>
    <w:rsid w:val="00F865A3"/>
    <w:rsid w:val="00F95BC9"/>
    <w:rsid w:val="00FA4E38"/>
    <w:rsid w:val="00FA624C"/>
    <w:rsid w:val="00FB26F4"/>
    <w:rsid w:val="00FB3B71"/>
    <w:rsid w:val="00FC5622"/>
    <w:rsid w:val="00FD0FAC"/>
    <w:rsid w:val="00FD1DFA"/>
    <w:rsid w:val="00FD4966"/>
    <w:rsid w:val="00FE57DC"/>
    <w:rsid w:val="00FF095A"/>
    <w:rsid w:val="00FF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paragraph" w:styleId="Heading3">
    <w:name w:val="heading 3"/>
    <w:basedOn w:val="Normal"/>
    <w:next w:val="Normal"/>
    <w:link w:val="Heading3Char"/>
    <w:semiHidden/>
    <w:unhideWhenUsed/>
    <w:qFormat/>
    <w:rsid w:val="005833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semiHidden/>
    <w:rsid w:val="005833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6398">
      <w:bodyDiv w:val="1"/>
      <w:marLeft w:val="0"/>
      <w:marRight w:val="0"/>
      <w:marTop w:val="0"/>
      <w:marBottom w:val="0"/>
      <w:divBdr>
        <w:top w:val="none" w:sz="0" w:space="0" w:color="auto"/>
        <w:left w:val="none" w:sz="0" w:space="0" w:color="auto"/>
        <w:bottom w:val="none" w:sz="0" w:space="0" w:color="auto"/>
        <w:right w:val="none" w:sz="0" w:space="0" w:color="auto"/>
      </w:divBdr>
    </w:div>
    <w:div w:id="13048737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08309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0423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78379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82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andekar@oxfor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additional-relief-fund-carf-local-authority-guidance?utm_medium=email&amp;utm_campaign=govuk-notifications&amp;utm_source=80e66d5f-a35d-43e9-b44f-0a16470dd4e5&amp;utm_content=immediate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856-D55F-464F-911C-FF77E0472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37C43-2B88-40C2-A677-2A567769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4.xml><?xml version="1.0" encoding="utf-8"?>
<ds:datastoreItem xmlns:ds="http://schemas.openxmlformats.org/officeDocument/2006/customXml" ds:itemID="{9118A458-E848-439F-BA08-57DB064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FE87C037</Template>
  <TotalTime>84</TotalTime>
  <Pages>9</Pages>
  <Words>2956</Words>
  <Characters>16104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11</cp:revision>
  <cp:lastPrinted>2015-07-03T13:50:00Z</cp:lastPrinted>
  <dcterms:created xsi:type="dcterms:W3CDTF">2022-04-05T07:54:00Z</dcterms:created>
  <dcterms:modified xsi:type="dcterms:W3CDTF">2022-06-14T08:03:00Z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